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314DC8" w:rsidP="0021114E">
      <w:pPr>
        <w:pStyle w:val="LGAItemNoHeading"/>
        <w:spacing w:before="240"/>
        <w:rPr>
          <w:rFonts w:ascii="Arial" w:hAnsi="Arial" w:cs="Arial"/>
          <w:sz w:val="28"/>
          <w:szCs w:val="28"/>
        </w:rPr>
      </w:pPr>
      <w:r>
        <w:rPr>
          <w:rFonts w:ascii="Arial" w:hAnsi="Arial" w:cs="Arial"/>
          <w:sz w:val="28"/>
          <w:szCs w:val="28"/>
        </w:rPr>
        <w:t>LGA Betting Commission outcome and future approach to LGA policy on gambling regulation</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5D0DDD" w:rsidP="0021114E">
      <w:pPr>
        <w:pStyle w:val="MainText"/>
        <w:spacing w:line="240" w:lineRule="auto"/>
        <w:rPr>
          <w:rFonts w:ascii="Arial" w:hAnsi="Arial" w:cs="Arial"/>
          <w:b/>
          <w:szCs w:val="22"/>
        </w:rPr>
      </w:pPr>
      <w:r>
        <w:rPr>
          <w:rFonts w:ascii="Arial" w:hAnsi="Arial" w:cs="Arial"/>
          <w:szCs w:val="22"/>
        </w:rPr>
        <w:t>To outline a comprehensive approach for the LGA’s future work on local gambling regulation, f</w:t>
      </w:r>
      <w:r w:rsidR="00B162A5" w:rsidRPr="0021114E">
        <w:rPr>
          <w:rFonts w:ascii="Arial" w:hAnsi="Arial" w:cs="Arial"/>
          <w:szCs w:val="22"/>
        </w:rPr>
        <w:t xml:space="preserve">or discussion and </w:t>
      </w:r>
      <w:r w:rsidR="005F0364">
        <w:rPr>
          <w:rFonts w:ascii="Arial" w:hAnsi="Arial" w:cs="Arial"/>
          <w:szCs w:val="22"/>
        </w:rPr>
        <w:t>decision</w:t>
      </w:r>
      <w:r>
        <w:rPr>
          <w:rFonts w:ascii="Arial" w:hAnsi="Arial" w:cs="Arial"/>
          <w:szCs w:val="22"/>
        </w:rPr>
        <w:t xml:space="preserve"> by the Board</w:t>
      </w:r>
      <w:r w:rsidR="00314DC8">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C56860" w:rsidRPr="0021114E" w:rsidRDefault="00314DC8" w:rsidP="0021114E">
      <w:pPr>
        <w:pStyle w:val="MainText"/>
        <w:spacing w:line="240" w:lineRule="auto"/>
        <w:rPr>
          <w:rFonts w:ascii="Arial" w:hAnsi="Arial" w:cs="Arial"/>
          <w:szCs w:val="22"/>
        </w:rPr>
      </w:pPr>
      <w:r>
        <w:rPr>
          <w:rFonts w:ascii="Arial" w:hAnsi="Arial" w:cs="Arial"/>
          <w:szCs w:val="22"/>
        </w:rPr>
        <w:t xml:space="preserve">This paper </w:t>
      </w:r>
      <w:r w:rsidR="005D0DDD">
        <w:rPr>
          <w:rFonts w:ascii="Arial" w:hAnsi="Arial" w:cs="Arial"/>
          <w:szCs w:val="22"/>
        </w:rPr>
        <w:t>updates the Board on the outcome</w:t>
      </w:r>
      <w:r>
        <w:rPr>
          <w:rFonts w:ascii="Arial" w:hAnsi="Arial" w:cs="Arial"/>
          <w:szCs w:val="22"/>
        </w:rPr>
        <w:t xml:space="preserve"> from the LGA’s Betting Commission work</w:t>
      </w:r>
      <w:r w:rsidR="005D0DDD">
        <w:rPr>
          <w:rFonts w:ascii="Arial" w:hAnsi="Arial" w:cs="Arial"/>
          <w:szCs w:val="22"/>
        </w:rPr>
        <w:t xml:space="preserve"> and seeks endorsement of the </w:t>
      </w:r>
      <w:r w:rsidR="005D0DDD" w:rsidRPr="005D0DDD">
        <w:rPr>
          <w:rFonts w:ascii="Arial" w:hAnsi="Arial" w:cs="Arial"/>
          <w:i/>
          <w:szCs w:val="22"/>
        </w:rPr>
        <w:t>Framework for local partnership</w:t>
      </w:r>
      <w:r w:rsidR="00C23F51">
        <w:rPr>
          <w:rFonts w:ascii="Arial" w:hAnsi="Arial" w:cs="Arial"/>
          <w:i/>
          <w:szCs w:val="22"/>
        </w:rPr>
        <w:t>s</w:t>
      </w:r>
      <w:r w:rsidR="005D0DDD">
        <w:rPr>
          <w:rFonts w:ascii="Arial" w:hAnsi="Arial" w:cs="Arial"/>
          <w:szCs w:val="22"/>
        </w:rPr>
        <w:t xml:space="preserve"> developed by the Commission. It also seeks approval for a </w:t>
      </w:r>
      <w:r>
        <w:rPr>
          <w:rFonts w:ascii="Arial" w:hAnsi="Arial" w:cs="Arial"/>
          <w:szCs w:val="22"/>
        </w:rPr>
        <w:t>proposed future policy position for the LGA in relation to gambling issues</w:t>
      </w: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5D0DDD" w:rsidP="0021114E">
            <w:pPr>
              <w:pStyle w:val="MainText"/>
              <w:spacing w:line="240" w:lineRule="auto"/>
              <w:rPr>
                <w:rFonts w:ascii="Arial" w:hAnsi="Arial" w:cs="Arial"/>
                <w:szCs w:val="22"/>
              </w:rPr>
            </w:pPr>
            <w:r>
              <w:rPr>
                <w:rFonts w:ascii="Arial" w:hAnsi="Arial" w:cs="Arial"/>
                <w:szCs w:val="22"/>
              </w:rPr>
              <w:t>The Board approve the recommendations in this paper.</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8F3A81" w:rsidP="0021114E">
            <w:pPr>
              <w:pStyle w:val="MainText"/>
              <w:spacing w:line="240" w:lineRule="auto"/>
              <w:rPr>
                <w:rFonts w:ascii="Arial" w:hAnsi="Arial" w:cs="Arial"/>
                <w:szCs w:val="22"/>
              </w:rPr>
            </w:pPr>
            <w:r w:rsidRPr="0021114E">
              <w:rPr>
                <w:rFonts w:ascii="Arial" w:hAnsi="Arial" w:cs="Arial"/>
                <w:szCs w:val="22"/>
              </w:rPr>
              <w:t>Officers to progress as directed</w:t>
            </w:r>
            <w:r w:rsidR="00873864">
              <w:rPr>
                <w:rFonts w:ascii="Arial" w:hAnsi="Arial" w:cs="Arial"/>
                <w:szCs w:val="22"/>
              </w:rPr>
              <w:t xml:space="preserve">. </w:t>
            </w:r>
            <w:bookmarkStart w:id="0" w:name="_GoBack"/>
            <w:bookmarkEnd w:id="0"/>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314DC8"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314DC8"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314DC8"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rsidTr="006137EA">
        <w:trPr>
          <w:trHeight w:val="507"/>
        </w:trPr>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rsidR="001A07F1" w:rsidRPr="00314DC8" w:rsidRDefault="005C3119" w:rsidP="005F0364">
            <w:pPr>
              <w:pStyle w:val="MainText"/>
              <w:spacing w:before="120" w:line="240" w:lineRule="auto"/>
              <w:rPr>
                <w:rFonts w:ascii="Arial" w:hAnsi="Arial" w:cs="Arial"/>
                <w:szCs w:val="22"/>
              </w:rPr>
            </w:pPr>
            <w:hyperlink r:id="rId9" w:history="1">
              <w:r w:rsidR="00314DC8" w:rsidRPr="00242B55">
                <w:rPr>
                  <w:rStyle w:val="Hyperlink"/>
                  <w:rFonts w:ascii="Arial" w:hAnsi="Arial" w:cs="Arial"/>
                </w:rPr>
                <w:t>ellie.greenwood@local.gov.uk</w:t>
              </w:r>
            </w:hyperlink>
            <w:r w:rsidR="00314DC8">
              <w:rPr>
                <w:rFonts w:ascii="Arial" w:hAnsi="Arial" w:cs="Arial"/>
              </w:rPr>
              <w:t xml:space="preserve"> </w:t>
            </w:r>
          </w:p>
        </w:tc>
      </w:tr>
    </w:tbl>
    <w:p w:rsidR="0021114E" w:rsidRDefault="0021114E" w:rsidP="0021114E">
      <w:pPr>
        <w:pStyle w:val="MainText"/>
        <w:spacing w:line="240" w:lineRule="auto"/>
        <w:rPr>
          <w:rFonts w:ascii="Arial" w:hAnsi="Arial" w:cs="Arial"/>
          <w:szCs w:val="22"/>
        </w:rPr>
      </w:pPr>
    </w:p>
    <w:p w:rsidR="0021114E" w:rsidRDefault="0021114E">
      <w:pPr>
        <w:rPr>
          <w:rFonts w:ascii="Arial" w:hAnsi="Arial" w:cs="Arial"/>
          <w:szCs w:val="22"/>
        </w:rPr>
      </w:pPr>
      <w:r>
        <w:rPr>
          <w:rFonts w:ascii="Arial" w:hAnsi="Arial" w:cs="Arial"/>
          <w:szCs w:val="22"/>
        </w:rPr>
        <w:br w:type="page"/>
      </w:r>
    </w:p>
    <w:p w:rsidR="00314DC8" w:rsidRPr="00BB212B" w:rsidRDefault="00314DC8" w:rsidP="00314DC8">
      <w:pPr>
        <w:pStyle w:val="LGAItemNoHeading"/>
        <w:spacing w:before="240"/>
        <w:rPr>
          <w:rFonts w:ascii="Arial" w:hAnsi="Arial" w:cs="Arial"/>
          <w:sz w:val="28"/>
          <w:szCs w:val="28"/>
        </w:rPr>
      </w:pPr>
      <w:r>
        <w:rPr>
          <w:rFonts w:ascii="Arial" w:hAnsi="Arial" w:cs="Arial"/>
          <w:sz w:val="28"/>
          <w:szCs w:val="28"/>
        </w:rPr>
        <w:lastRenderedPageBreak/>
        <w:t>LGA Betting Commission outcome and future approach to LGA policy on gambling regulation</w:t>
      </w:r>
    </w:p>
    <w:p w:rsidR="00A05560" w:rsidRPr="00E33D03" w:rsidRDefault="00A05560" w:rsidP="0021114E">
      <w:pPr>
        <w:pStyle w:val="MainText"/>
        <w:spacing w:line="240" w:lineRule="auto"/>
        <w:rPr>
          <w:rFonts w:ascii="Arial" w:hAnsi="Arial" w:cs="Arial"/>
          <w:sz w:val="24"/>
          <w:szCs w:val="22"/>
        </w:rPr>
      </w:pPr>
      <w:r w:rsidRPr="00E33D03">
        <w:rPr>
          <w:rFonts w:ascii="Arial" w:hAnsi="Arial" w:cs="Arial"/>
          <w:b/>
          <w:sz w:val="24"/>
          <w:szCs w:val="22"/>
        </w:rPr>
        <w:t>Background</w:t>
      </w:r>
    </w:p>
    <w:p w:rsidR="008F3A81" w:rsidRPr="0021114E" w:rsidRDefault="008F3A81" w:rsidP="0021114E">
      <w:pPr>
        <w:pStyle w:val="MainText"/>
        <w:spacing w:line="240" w:lineRule="auto"/>
        <w:rPr>
          <w:rFonts w:ascii="Arial" w:hAnsi="Arial" w:cs="Arial"/>
          <w:szCs w:val="22"/>
        </w:rPr>
      </w:pPr>
    </w:p>
    <w:p w:rsidR="00C23F51" w:rsidRDefault="00314DC8" w:rsidP="001F4E3D">
      <w:pPr>
        <w:pStyle w:val="MainText"/>
        <w:numPr>
          <w:ilvl w:val="0"/>
          <w:numId w:val="24"/>
        </w:numPr>
        <w:spacing w:line="240" w:lineRule="auto"/>
        <w:rPr>
          <w:rFonts w:ascii="Arial" w:hAnsi="Arial" w:cs="Arial"/>
          <w:szCs w:val="22"/>
        </w:rPr>
      </w:pPr>
      <w:r w:rsidRPr="001F4E3D">
        <w:rPr>
          <w:rFonts w:ascii="Arial" w:hAnsi="Arial" w:cs="Arial"/>
          <w:szCs w:val="22"/>
        </w:rPr>
        <w:t xml:space="preserve">In </w:t>
      </w:r>
      <w:r w:rsidR="00C23F51" w:rsidRPr="001F4E3D">
        <w:rPr>
          <w:rFonts w:ascii="Arial" w:hAnsi="Arial" w:cs="Arial"/>
          <w:szCs w:val="22"/>
        </w:rPr>
        <w:t xml:space="preserve">September </w:t>
      </w:r>
      <w:r w:rsidRPr="001F4E3D">
        <w:rPr>
          <w:rFonts w:ascii="Arial" w:hAnsi="Arial" w:cs="Arial"/>
          <w:szCs w:val="22"/>
        </w:rPr>
        <w:t xml:space="preserve">2014, the </w:t>
      </w:r>
      <w:r w:rsidR="00C23F51" w:rsidRPr="001F4E3D">
        <w:rPr>
          <w:rFonts w:ascii="Arial" w:hAnsi="Arial" w:cs="Arial"/>
          <w:szCs w:val="22"/>
        </w:rPr>
        <w:t xml:space="preserve">final meeting of the </w:t>
      </w:r>
      <w:r w:rsidRPr="001F4E3D">
        <w:rPr>
          <w:rFonts w:ascii="Arial" w:hAnsi="Arial" w:cs="Arial"/>
          <w:szCs w:val="22"/>
        </w:rPr>
        <w:t xml:space="preserve">LGA ‘Betting Commission’ </w:t>
      </w:r>
      <w:r w:rsidR="00C23F51" w:rsidRPr="001F4E3D">
        <w:rPr>
          <w:rFonts w:ascii="Arial" w:hAnsi="Arial" w:cs="Arial"/>
          <w:szCs w:val="22"/>
        </w:rPr>
        <w:t>agreed a ‘</w:t>
      </w:r>
      <w:r w:rsidR="00C23F51" w:rsidRPr="001F4E3D">
        <w:rPr>
          <w:rFonts w:ascii="Arial" w:hAnsi="Arial" w:cs="Arial"/>
          <w:i/>
          <w:szCs w:val="22"/>
        </w:rPr>
        <w:t>Framework for local partnerships’</w:t>
      </w:r>
      <w:r w:rsidR="00C23F51" w:rsidRPr="001F4E3D">
        <w:rPr>
          <w:rFonts w:ascii="Arial" w:hAnsi="Arial" w:cs="Arial"/>
          <w:szCs w:val="22"/>
        </w:rPr>
        <w:t xml:space="preserve"> with the aim of facilitating better joint working between councils and betting shops at a local level in order to address issues linked to betting shops. Following th</w:t>
      </w:r>
      <w:r w:rsidR="00542C75" w:rsidRPr="001F4E3D">
        <w:rPr>
          <w:rFonts w:ascii="Arial" w:hAnsi="Arial" w:cs="Arial"/>
          <w:szCs w:val="22"/>
        </w:rPr>
        <w:t>is</w:t>
      </w:r>
      <w:r w:rsidR="00C23F51" w:rsidRPr="001F4E3D">
        <w:rPr>
          <w:rFonts w:ascii="Arial" w:hAnsi="Arial" w:cs="Arial"/>
          <w:szCs w:val="22"/>
        </w:rPr>
        <w:t xml:space="preserve">, councillor members of the Commission met  to develop a set of </w:t>
      </w:r>
      <w:r w:rsidR="00542C75" w:rsidRPr="001F4E3D">
        <w:rPr>
          <w:rFonts w:ascii="Arial" w:hAnsi="Arial" w:cs="Arial"/>
          <w:szCs w:val="22"/>
        </w:rPr>
        <w:t xml:space="preserve">wider </w:t>
      </w:r>
      <w:r w:rsidR="00C23F51" w:rsidRPr="001F4E3D">
        <w:rPr>
          <w:rFonts w:ascii="Arial" w:hAnsi="Arial" w:cs="Arial"/>
          <w:szCs w:val="22"/>
        </w:rPr>
        <w:t xml:space="preserve">recommendations for the LGA’s future policy position in relation to </w:t>
      </w:r>
      <w:r w:rsidR="005F18FA" w:rsidRPr="001F4E3D">
        <w:rPr>
          <w:rFonts w:ascii="Arial" w:hAnsi="Arial" w:cs="Arial"/>
          <w:szCs w:val="22"/>
        </w:rPr>
        <w:t>gambling</w:t>
      </w:r>
      <w:r w:rsidR="00C23F51" w:rsidRPr="001F4E3D">
        <w:rPr>
          <w:rFonts w:ascii="Arial" w:hAnsi="Arial" w:cs="Arial"/>
          <w:szCs w:val="22"/>
        </w:rPr>
        <w:t xml:space="preserve"> for consideration by the Board</w:t>
      </w:r>
    </w:p>
    <w:p w:rsidR="001F4E3D" w:rsidRPr="001F4E3D" w:rsidRDefault="001F4E3D" w:rsidP="001F4E3D">
      <w:pPr>
        <w:pStyle w:val="MainText"/>
        <w:spacing w:line="240" w:lineRule="auto"/>
        <w:ind w:left="360"/>
        <w:rPr>
          <w:rFonts w:ascii="Arial" w:hAnsi="Arial" w:cs="Arial"/>
          <w:szCs w:val="22"/>
        </w:rPr>
      </w:pPr>
    </w:p>
    <w:p w:rsidR="00C23F51" w:rsidRDefault="00C23F51" w:rsidP="000A7FC2">
      <w:pPr>
        <w:pStyle w:val="MainText"/>
        <w:numPr>
          <w:ilvl w:val="0"/>
          <w:numId w:val="24"/>
        </w:numPr>
        <w:spacing w:line="240" w:lineRule="auto"/>
        <w:rPr>
          <w:rFonts w:ascii="Arial" w:hAnsi="Arial" w:cs="Arial"/>
          <w:szCs w:val="22"/>
        </w:rPr>
      </w:pPr>
      <w:r>
        <w:rPr>
          <w:rFonts w:ascii="Arial" w:hAnsi="Arial" w:cs="Arial"/>
          <w:szCs w:val="22"/>
        </w:rPr>
        <w:t xml:space="preserve">This paper </w:t>
      </w:r>
      <w:r w:rsidR="00542C75">
        <w:rPr>
          <w:rFonts w:ascii="Arial" w:hAnsi="Arial" w:cs="Arial"/>
          <w:szCs w:val="22"/>
        </w:rPr>
        <w:t>suggests</w:t>
      </w:r>
      <w:r>
        <w:rPr>
          <w:rFonts w:ascii="Arial" w:hAnsi="Arial" w:cs="Arial"/>
          <w:szCs w:val="22"/>
        </w:rPr>
        <w:t xml:space="preserve"> a</w:t>
      </w:r>
      <w:r w:rsidR="001517EA">
        <w:rPr>
          <w:rFonts w:ascii="Arial" w:hAnsi="Arial" w:cs="Arial"/>
          <w:szCs w:val="22"/>
        </w:rPr>
        <w:t>n overall strategic approach to</w:t>
      </w:r>
      <w:r>
        <w:rPr>
          <w:rFonts w:ascii="Arial" w:hAnsi="Arial" w:cs="Arial"/>
          <w:szCs w:val="22"/>
        </w:rPr>
        <w:t xml:space="preserve"> local gambli</w:t>
      </w:r>
      <w:r w:rsidR="00DC14DE">
        <w:rPr>
          <w:rFonts w:ascii="Arial" w:hAnsi="Arial" w:cs="Arial"/>
          <w:szCs w:val="22"/>
        </w:rPr>
        <w:t>ng regulation, that is based on:</w:t>
      </w:r>
    </w:p>
    <w:p w:rsidR="00DC14DE" w:rsidRDefault="00DC14DE" w:rsidP="00DC14DE">
      <w:pPr>
        <w:pStyle w:val="MainText"/>
        <w:spacing w:line="240" w:lineRule="auto"/>
        <w:rPr>
          <w:rFonts w:ascii="Arial" w:hAnsi="Arial" w:cs="Arial"/>
          <w:szCs w:val="22"/>
        </w:rPr>
      </w:pPr>
    </w:p>
    <w:p w:rsidR="00C23F51" w:rsidRDefault="00C23F51" w:rsidP="00C23F51">
      <w:pPr>
        <w:pStyle w:val="MainText"/>
        <w:numPr>
          <w:ilvl w:val="1"/>
          <w:numId w:val="24"/>
        </w:numPr>
        <w:spacing w:line="240" w:lineRule="auto"/>
        <w:rPr>
          <w:rFonts w:ascii="Arial" w:hAnsi="Arial" w:cs="Arial"/>
          <w:szCs w:val="22"/>
        </w:rPr>
      </w:pPr>
      <w:r>
        <w:rPr>
          <w:rFonts w:ascii="Arial" w:hAnsi="Arial" w:cs="Arial"/>
          <w:szCs w:val="22"/>
        </w:rPr>
        <w:t>Strengthening local gambling regulation in the current framework, through supporting councils to make more effective use of existing powers and working w</w:t>
      </w:r>
      <w:r w:rsidR="001517EA">
        <w:rPr>
          <w:rFonts w:ascii="Arial" w:hAnsi="Arial" w:cs="Arial"/>
          <w:szCs w:val="22"/>
        </w:rPr>
        <w:t>ith industry where possible.</w:t>
      </w:r>
    </w:p>
    <w:p w:rsidR="00DC14DE" w:rsidRDefault="00DC14DE" w:rsidP="00DC14DE">
      <w:pPr>
        <w:pStyle w:val="MainText"/>
        <w:spacing w:line="240" w:lineRule="auto"/>
        <w:ind w:left="792"/>
        <w:rPr>
          <w:rFonts w:ascii="Arial" w:hAnsi="Arial" w:cs="Arial"/>
          <w:szCs w:val="22"/>
        </w:rPr>
      </w:pPr>
    </w:p>
    <w:p w:rsidR="00C23F51" w:rsidRDefault="001517EA" w:rsidP="00C23F51">
      <w:pPr>
        <w:pStyle w:val="MainText"/>
        <w:numPr>
          <w:ilvl w:val="1"/>
          <w:numId w:val="24"/>
        </w:numPr>
        <w:spacing w:line="240" w:lineRule="auto"/>
        <w:rPr>
          <w:rFonts w:ascii="Arial" w:hAnsi="Arial" w:cs="Arial"/>
          <w:szCs w:val="22"/>
        </w:rPr>
      </w:pPr>
      <w:r>
        <w:rPr>
          <w:rFonts w:ascii="Arial" w:hAnsi="Arial" w:cs="Arial"/>
          <w:szCs w:val="22"/>
        </w:rPr>
        <w:t xml:space="preserve">The </w:t>
      </w:r>
      <w:r w:rsidR="00C23F51">
        <w:rPr>
          <w:rFonts w:ascii="Arial" w:hAnsi="Arial" w:cs="Arial"/>
          <w:szCs w:val="22"/>
        </w:rPr>
        <w:t xml:space="preserve">need for legislative changes to address </w:t>
      </w:r>
      <w:r>
        <w:rPr>
          <w:rFonts w:ascii="Arial" w:hAnsi="Arial" w:cs="Arial"/>
          <w:szCs w:val="22"/>
        </w:rPr>
        <w:t xml:space="preserve">betting shop clustering </w:t>
      </w:r>
      <w:r w:rsidR="000A1896">
        <w:rPr>
          <w:rFonts w:ascii="Arial" w:hAnsi="Arial" w:cs="Arial"/>
          <w:szCs w:val="22"/>
        </w:rPr>
        <w:t>/ the</w:t>
      </w:r>
      <w:r>
        <w:rPr>
          <w:rFonts w:ascii="Arial" w:hAnsi="Arial" w:cs="Arial"/>
          <w:szCs w:val="22"/>
        </w:rPr>
        <w:t xml:space="preserve"> risk of harm from FOBTs.</w:t>
      </w:r>
    </w:p>
    <w:p w:rsidR="004153AC" w:rsidRDefault="004153AC" w:rsidP="004153AC">
      <w:pPr>
        <w:pStyle w:val="MainText"/>
        <w:spacing w:line="240" w:lineRule="auto"/>
        <w:ind w:left="792"/>
        <w:rPr>
          <w:rFonts w:ascii="Arial" w:hAnsi="Arial" w:cs="Arial"/>
          <w:szCs w:val="22"/>
        </w:rPr>
      </w:pPr>
    </w:p>
    <w:p w:rsidR="004153AC" w:rsidRDefault="00DD13A2" w:rsidP="004153AC">
      <w:pPr>
        <w:pStyle w:val="MainText"/>
        <w:numPr>
          <w:ilvl w:val="0"/>
          <w:numId w:val="24"/>
        </w:numPr>
        <w:spacing w:line="240" w:lineRule="auto"/>
        <w:rPr>
          <w:rFonts w:ascii="Arial" w:hAnsi="Arial" w:cs="Arial"/>
          <w:szCs w:val="22"/>
        </w:rPr>
      </w:pPr>
      <w:r>
        <w:rPr>
          <w:rFonts w:ascii="Arial" w:hAnsi="Arial" w:cs="Arial"/>
          <w:szCs w:val="22"/>
        </w:rPr>
        <w:t>The proposed</w:t>
      </w:r>
      <w:r w:rsidR="004153AC">
        <w:rPr>
          <w:rFonts w:ascii="Arial" w:hAnsi="Arial" w:cs="Arial"/>
          <w:szCs w:val="22"/>
        </w:rPr>
        <w:t xml:space="preserve"> approach </w:t>
      </w:r>
      <w:r w:rsidR="005F18FA">
        <w:rPr>
          <w:rFonts w:ascii="Arial" w:hAnsi="Arial" w:cs="Arial"/>
          <w:szCs w:val="22"/>
        </w:rPr>
        <w:t>ensures</w:t>
      </w:r>
      <w:r w:rsidR="004153AC">
        <w:rPr>
          <w:rFonts w:ascii="Arial" w:hAnsi="Arial" w:cs="Arial"/>
          <w:szCs w:val="22"/>
        </w:rPr>
        <w:t xml:space="preserve"> a pragmatic </w:t>
      </w:r>
      <w:r w:rsidR="001F4E3D">
        <w:rPr>
          <w:rFonts w:ascii="Arial" w:hAnsi="Arial" w:cs="Arial"/>
          <w:szCs w:val="22"/>
        </w:rPr>
        <w:t xml:space="preserve">focus </w:t>
      </w:r>
      <w:r w:rsidR="004153AC">
        <w:rPr>
          <w:rFonts w:ascii="Arial" w:hAnsi="Arial" w:cs="Arial"/>
          <w:szCs w:val="22"/>
        </w:rPr>
        <w:t xml:space="preserve">on what more can be </w:t>
      </w:r>
      <w:r w:rsidR="005F18FA">
        <w:rPr>
          <w:rFonts w:ascii="Arial" w:hAnsi="Arial" w:cs="Arial"/>
          <w:szCs w:val="22"/>
        </w:rPr>
        <w:t xml:space="preserve">done in the current </w:t>
      </w:r>
      <w:r w:rsidR="001F4E3D">
        <w:rPr>
          <w:rFonts w:ascii="Arial" w:hAnsi="Arial" w:cs="Arial"/>
          <w:szCs w:val="22"/>
        </w:rPr>
        <w:t>system while</w:t>
      </w:r>
      <w:r w:rsidR="004153AC">
        <w:rPr>
          <w:rFonts w:ascii="Arial" w:hAnsi="Arial" w:cs="Arial"/>
          <w:szCs w:val="22"/>
        </w:rPr>
        <w:t xml:space="preserve"> also being clear about the changes we believe </w:t>
      </w:r>
      <w:r w:rsidR="004153AC" w:rsidRPr="005F18FA">
        <w:rPr>
          <w:rFonts w:ascii="Arial" w:hAnsi="Arial" w:cs="Arial"/>
          <w:i/>
          <w:szCs w:val="22"/>
        </w:rPr>
        <w:t>should</w:t>
      </w:r>
      <w:r w:rsidR="004153AC">
        <w:rPr>
          <w:rFonts w:ascii="Arial" w:hAnsi="Arial" w:cs="Arial"/>
          <w:szCs w:val="22"/>
        </w:rPr>
        <w:t xml:space="preserve"> be implemented to provide a fairer balance between industry’s rights to trade and the desire </w:t>
      </w:r>
      <w:r w:rsidR="00E33D03">
        <w:rPr>
          <w:rFonts w:ascii="Arial" w:hAnsi="Arial" w:cs="Arial"/>
          <w:szCs w:val="22"/>
        </w:rPr>
        <w:t>of communities</w:t>
      </w:r>
      <w:r w:rsidR="004153AC">
        <w:rPr>
          <w:rFonts w:ascii="Arial" w:hAnsi="Arial" w:cs="Arial"/>
          <w:szCs w:val="22"/>
        </w:rPr>
        <w:t xml:space="preserve"> and councils to shape their local areas.</w:t>
      </w:r>
    </w:p>
    <w:p w:rsidR="000A7FC2" w:rsidRPr="00E33D03" w:rsidRDefault="000A7FC2" w:rsidP="000A7FC2">
      <w:pPr>
        <w:pStyle w:val="MainText"/>
        <w:spacing w:line="240" w:lineRule="auto"/>
        <w:ind w:left="360"/>
        <w:rPr>
          <w:rFonts w:ascii="Arial" w:hAnsi="Arial" w:cs="Arial"/>
          <w:sz w:val="24"/>
          <w:szCs w:val="22"/>
        </w:rPr>
      </w:pPr>
    </w:p>
    <w:p w:rsidR="002414C2" w:rsidRPr="00E33D03" w:rsidRDefault="005719B7" w:rsidP="0021114E">
      <w:pPr>
        <w:pStyle w:val="MainText"/>
        <w:spacing w:line="240" w:lineRule="auto"/>
        <w:rPr>
          <w:rFonts w:ascii="Arial" w:hAnsi="Arial" w:cs="Arial"/>
          <w:b/>
          <w:sz w:val="24"/>
          <w:szCs w:val="22"/>
        </w:rPr>
      </w:pPr>
      <w:r w:rsidRPr="00E33D03">
        <w:rPr>
          <w:rFonts w:ascii="Arial" w:hAnsi="Arial" w:cs="Arial"/>
          <w:b/>
          <w:sz w:val="24"/>
          <w:szCs w:val="22"/>
        </w:rPr>
        <w:t>Strengthening local gambling regulation in the current framework</w:t>
      </w:r>
    </w:p>
    <w:p w:rsidR="00893E53" w:rsidRPr="0021114E" w:rsidRDefault="00893E53" w:rsidP="0021114E">
      <w:pPr>
        <w:pStyle w:val="ListParagraph"/>
        <w:rPr>
          <w:rFonts w:ascii="Arial" w:hAnsi="Arial" w:cs="Arial"/>
          <w:szCs w:val="22"/>
        </w:rPr>
      </w:pPr>
    </w:p>
    <w:p w:rsidR="007A063E" w:rsidRDefault="001F4E3D" w:rsidP="0021114E">
      <w:pPr>
        <w:pStyle w:val="ListParagraph"/>
        <w:numPr>
          <w:ilvl w:val="0"/>
          <w:numId w:val="24"/>
        </w:numPr>
        <w:rPr>
          <w:rFonts w:ascii="Arial" w:hAnsi="Arial" w:cs="Arial"/>
          <w:szCs w:val="22"/>
        </w:rPr>
      </w:pPr>
      <w:r>
        <w:rPr>
          <w:rFonts w:ascii="Arial" w:hAnsi="Arial" w:cs="Arial"/>
          <w:szCs w:val="22"/>
        </w:rPr>
        <w:t xml:space="preserve">Our primary </w:t>
      </w:r>
      <w:r w:rsidR="00FD18AD">
        <w:rPr>
          <w:rFonts w:ascii="Arial" w:hAnsi="Arial" w:cs="Arial"/>
          <w:szCs w:val="22"/>
        </w:rPr>
        <w:t>work focus</w:t>
      </w:r>
      <w:r w:rsidR="00DD13A2">
        <w:rPr>
          <w:rFonts w:ascii="Arial" w:hAnsi="Arial" w:cs="Arial"/>
          <w:szCs w:val="22"/>
        </w:rPr>
        <w:t xml:space="preserve"> will be</w:t>
      </w:r>
      <w:r w:rsidR="000A1896">
        <w:rPr>
          <w:rFonts w:ascii="Arial" w:hAnsi="Arial" w:cs="Arial"/>
          <w:szCs w:val="22"/>
        </w:rPr>
        <w:t xml:space="preserve"> to strengthen local gambling regulation by supporting councils to use existing powers more effectively. This will be achieved through</w:t>
      </w:r>
      <w:r>
        <w:rPr>
          <w:rFonts w:ascii="Arial" w:hAnsi="Arial" w:cs="Arial"/>
          <w:szCs w:val="22"/>
        </w:rPr>
        <w:t xml:space="preserve"> the following </w:t>
      </w:r>
      <w:r w:rsidR="00FD18AD">
        <w:rPr>
          <w:rFonts w:ascii="Arial" w:hAnsi="Arial" w:cs="Arial"/>
          <w:szCs w:val="22"/>
        </w:rPr>
        <w:t>activity.</w:t>
      </w:r>
    </w:p>
    <w:p w:rsidR="001F4E3D" w:rsidRDefault="001F4E3D" w:rsidP="001F4E3D">
      <w:pPr>
        <w:pStyle w:val="ListParagraph"/>
        <w:ind w:left="360"/>
        <w:rPr>
          <w:rFonts w:ascii="Arial" w:hAnsi="Arial" w:cs="Arial"/>
          <w:szCs w:val="22"/>
        </w:rPr>
      </w:pPr>
    </w:p>
    <w:p w:rsidR="000A1896" w:rsidRPr="001F4E3D" w:rsidRDefault="001F4E3D" w:rsidP="001F4E3D">
      <w:pPr>
        <w:rPr>
          <w:rFonts w:ascii="Arial" w:hAnsi="Arial" w:cs="Arial"/>
          <w:b/>
          <w:i/>
          <w:szCs w:val="22"/>
        </w:rPr>
      </w:pPr>
      <w:r w:rsidRPr="001F4E3D">
        <w:rPr>
          <w:rFonts w:ascii="Arial" w:hAnsi="Arial" w:cs="Arial"/>
          <w:b/>
          <w:i/>
          <w:szCs w:val="22"/>
        </w:rPr>
        <w:t>The Betting Commission</w:t>
      </w:r>
      <w:r w:rsidR="000A1896" w:rsidRPr="001F4E3D">
        <w:rPr>
          <w:rFonts w:ascii="Arial" w:hAnsi="Arial" w:cs="Arial"/>
          <w:b/>
          <w:i/>
          <w:szCs w:val="22"/>
        </w:rPr>
        <w:t xml:space="preserve"> f</w:t>
      </w:r>
      <w:r w:rsidRPr="001F4E3D">
        <w:rPr>
          <w:rFonts w:ascii="Arial" w:hAnsi="Arial" w:cs="Arial"/>
          <w:b/>
          <w:i/>
          <w:szCs w:val="22"/>
        </w:rPr>
        <w:t>ramework for local partnerships</w:t>
      </w:r>
    </w:p>
    <w:p w:rsidR="001F4E3D" w:rsidRDefault="001F4E3D" w:rsidP="001F4E3D">
      <w:pPr>
        <w:pStyle w:val="MainText"/>
        <w:numPr>
          <w:ilvl w:val="1"/>
          <w:numId w:val="24"/>
        </w:numPr>
        <w:spacing w:line="240" w:lineRule="auto"/>
        <w:rPr>
          <w:rFonts w:ascii="Arial" w:hAnsi="Arial" w:cs="Arial"/>
          <w:szCs w:val="22"/>
        </w:rPr>
      </w:pPr>
      <w:r>
        <w:rPr>
          <w:rFonts w:ascii="Arial" w:hAnsi="Arial" w:cs="Arial"/>
          <w:szCs w:val="22"/>
        </w:rPr>
        <w:t xml:space="preserve">The Betting Commission </w:t>
      </w:r>
      <w:r w:rsidRPr="000A1896">
        <w:rPr>
          <w:rFonts w:ascii="Arial" w:hAnsi="Arial" w:cs="Arial"/>
          <w:szCs w:val="22"/>
        </w:rPr>
        <w:t xml:space="preserve">indicated that there is clearly an appetite within the industry to </w:t>
      </w:r>
      <w:r>
        <w:rPr>
          <w:rFonts w:ascii="Arial" w:hAnsi="Arial" w:cs="Arial"/>
          <w:szCs w:val="22"/>
        </w:rPr>
        <w:t>work</w:t>
      </w:r>
      <w:r w:rsidRPr="000A1896">
        <w:rPr>
          <w:rFonts w:ascii="Arial" w:hAnsi="Arial" w:cs="Arial"/>
          <w:szCs w:val="22"/>
        </w:rPr>
        <w:t xml:space="preserve"> more effectively with councils to address issues</w:t>
      </w:r>
      <w:r>
        <w:rPr>
          <w:rFonts w:ascii="Arial" w:hAnsi="Arial" w:cs="Arial"/>
          <w:szCs w:val="22"/>
        </w:rPr>
        <w:t xml:space="preserve"> linked to betting shops and</w:t>
      </w:r>
      <w:r w:rsidRPr="000A1896">
        <w:rPr>
          <w:rFonts w:ascii="Arial" w:hAnsi="Arial" w:cs="Arial"/>
          <w:szCs w:val="22"/>
        </w:rPr>
        <w:t xml:space="preserve"> improve the industry’s reputation</w:t>
      </w:r>
      <w:r>
        <w:rPr>
          <w:rFonts w:ascii="Arial" w:hAnsi="Arial" w:cs="Arial"/>
          <w:szCs w:val="22"/>
        </w:rPr>
        <w:t>; equally, it showed that that there is scope for councils to engage more with the industry where they believe there are issues linked to betting shops.</w:t>
      </w:r>
    </w:p>
    <w:p w:rsidR="001F4E3D" w:rsidRPr="000A1896" w:rsidRDefault="001F4E3D" w:rsidP="001F4E3D">
      <w:pPr>
        <w:pStyle w:val="MainText"/>
        <w:spacing w:line="240" w:lineRule="auto"/>
        <w:ind w:left="792"/>
        <w:rPr>
          <w:rFonts w:ascii="Arial" w:hAnsi="Arial" w:cs="Arial"/>
          <w:szCs w:val="22"/>
        </w:rPr>
      </w:pPr>
    </w:p>
    <w:p w:rsidR="001F4E3D" w:rsidRPr="00FD18AD" w:rsidRDefault="001F4E3D" w:rsidP="001F4E3D">
      <w:pPr>
        <w:pStyle w:val="MainText"/>
        <w:numPr>
          <w:ilvl w:val="1"/>
          <w:numId w:val="24"/>
        </w:numPr>
        <w:spacing w:line="240" w:lineRule="auto"/>
        <w:rPr>
          <w:rFonts w:ascii="Arial" w:hAnsi="Arial" w:cs="Arial"/>
          <w:szCs w:val="22"/>
        </w:rPr>
      </w:pPr>
      <w:r>
        <w:rPr>
          <w:rFonts w:ascii="Arial" w:hAnsi="Arial" w:cs="Arial"/>
          <w:szCs w:val="22"/>
        </w:rPr>
        <w:t>The Commission therefore agreed a framework for local partnership working between councils and be</w:t>
      </w:r>
      <w:r w:rsidR="00007C6C">
        <w:rPr>
          <w:rFonts w:ascii="Arial" w:hAnsi="Arial" w:cs="Arial"/>
          <w:szCs w:val="22"/>
        </w:rPr>
        <w:t>tting shops (attached at annex 1</w:t>
      </w:r>
      <w:r>
        <w:rPr>
          <w:rFonts w:ascii="Arial" w:hAnsi="Arial" w:cs="Arial"/>
          <w:szCs w:val="22"/>
        </w:rPr>
        <w:t xml:space="preserve">), to be signed by the LGA </w:t>
      </w:r>
      <w:r w:rsidRPr="00FD18AD">
        <w:rPr>
          <w:rFonts w:ascii="Arial" w:hAnsi="Arial" w:cs="Arial"/>
          <w:szCs w:val="22"/>
        </w:rPr>
        <w:t xml:space="preserve">and Association of British Bookmakers.  The objective is to facilitate local joint working between councils and betting shops, based on taking an evidence-based and better regulation approach. </w:t>
      </w:r>
    </w:p>
    <w:p w:rsidR="001F4E3D" w:rsidRPr="00FD18AD" w:rsidRDefault="001F4E3D" w:rsidP="001F4E3D">
      <w:pPr>
        <w:pStyle w:val="ListParagraph"/>
        <w:rPr>
          <w:rFonts w:ascii="Arial" w:hAnsi="Arial" w:cs="Arial"/>
          <w:szCs w:val="22"/>
        </w:rPr>
      </w:pPr>
    </w:p>
    <w:p w:rsidR="001F4E3D" w:rsidRPr="00FD18AD" w:rsidRDefault="001F4E3D" w:rsidP="001F4E3D">
      <w:pPr>
        <w:pStyle w:val="MainText"/>
        <w:numPr>
          <w:ilvl w:val="1"/>
          <w:numId w:val="24"/>
        </w:numPr>
        <w:spacing w:line="240" w:lineRule="auto"/>
        <w:rPr>
          <w:rFonts w:ascii="Arial" w:hAnsi="Arial" w:cs="Arial"/>
          <w:szCs w:val="22"/>
        </w:rPr>
      </w:pPr>
      <w:r w:rsidRPr="00FD18AD">
        <w:rPr>
          <w:rFonts w:ascii="Arial" w:hAnsi="Arial" w:cs="Arial"/>
          <w:szCs w:val="22"/>
        </w:rPr>
        <w:t xml:space="preserve">The framework recognises that councils and the industry will continue to have different views on </w:t>
      </w:r>
      <w:r w:rsidR="00FD18AD">
        <w:rPr>
          <w:rFonts w:ascii="Arial" w:hAnsi="Arial" w:cs="Arial"/>
          <w:szCs w:val="22"/>
        </w:rPr>
        <w:t>gambling regulation</w:t>
      </w:r>
      <w:r w:rsidRPr="00FD18AD">
        <w:rPr>
          <w:rFonts w:ascii="Arial" w:hAnsi="Arial" w:cs="Arial"/>
          <w:szCs w:val="22"/>
        </w:rPr>
        <w:t xml:space="preserve">. Furthermore we accept that the framework will not offer a solution in places where relationships between the council and </w:t>
      </w:r>
      <w:r w:rsidRPr="00FD18AD">
        <w:rPr>
          <w:rFonts w:ascii="Arial" w:hAnsi="Arial" w:cs="Arial"/>
          <w:szCs w:val="22"/>
        </w:rPr>
        <w:lastRenderedPageBreak/>
        <w:t xml:space="preserve">industry representatives have deteriorated and / or where there are very deep-seated concerns about clustering and / or FOBTs. </w:t>
      </w:r>
    </w:p>
    <w:p w:rsidR="001F4E3D" w:rsidRDefault="001F4E3D" w:rsidP="001F4E3D">
      <w:pPr>
        <w:pStyle w:val="ListParagraph"/>
        <w:rPr>
          <w:rFonts w:ascii="Arial" w:hAnsi="Arial" w:cs="Arial"/>
          <w:szCs w:val="22"/>
          <w:highlight w:val="yellow"/>
        </w:rPr>
      </w:pPr>
    </w:p>
    <w:p w:rsidR="001F4E3D" w:rsidRPr="00FD18AD" w:rsidRDefault="001F4E3D" w:rsidP="001F4E3D">
      <w:pPr>
        <w:pStyle w:val="MainText"/>
        <w:numPr>
          <w:ilvl w:val="1"/>
          <w:numId w:val="24"/>
        </w:numPr>
        <w:spacing w:line="240" w:lineRule="auto"/>
        <w:rPr>
          <w:rFonts w:ascii="Arial" w:hAnsi="Arial" w:cs="Arial"/>
          <w:szCs w:val="22"/>
        </w:rPr>
      </w:pPr>
      <w:r w:rsidRPr="00FD18AD">
        <w:rPr>
          <w:rFonts w:ascii="Arial" w:hAnsi="Arial" w:cs="Arial"/>
          <w:szCs w:val="22"/>
        </w:rPr>
        <w:t>However, the Betting Commission was firmly of the view that there is significant scope for the framework to support and encourage joint working in many local areas and that a public commitment to a more collaborative approach would be helpful.</w:t>
      </w:r>
      <w:r w:rsidR="00FD18AD" w:rsidRPr="00FD18AD">
        <w:rPr>
          <w:rFonts w:ascii="Arial" w:hAnsi="Arial" w:cs="Arial"/>
          <w:szCs w:val="22"/>
        </w:rPr>
        <w:t xml:space="preserve"> It is therefore proposed that the agreement will be launched </w:t>
      </w:r>
      <w:r w:rsidR="00007C6C">
        <w:rPr>
          <w:rFonts w:ascii="Arial" w:hAnsi="Arial" w:cs="Arial"/>
          <w:szCs w:val="22"/>
        </w:rPr>
        <w:t>at the annual licensing conference on 15 January 2015</w:t>
      </w:r>
      <w:r w:rsidR="00FD18AD" w:rsidRPr="00FD18AD">
        <w:rPr>
          <w:rFonts w:ascii="Arial" w:hAnsi="Arial" w:cs="Arial"/>
          <w:szCs w:val="22"/>
        </w:rPr>
        <w:t>.</w:t>
      </w:r>
    </w:p>
    <w:p w:rsidR="001F4E3D" w:rsidRDefault="001F4E3D" w:rsidP="001F4E3D">
      <w:pPr>
        <w:rPr>
          <w:rFonts w:ascii="Arial" w:hAnsi="Arial" w:cs="Arial"/>
          <w:szCs w:val="22"/>
        </w:rPr>
      </w:pPr>
    </w:p>
    <w:p w:rsidR="001F4E3D" w:rsidRPr="001F4E3D" w:rsidRDefault="001F4E3D" w:rsidP="001F4E3D">
      <w:pPr>
        <w:rPr>
          <w:rFonts w:ascii="Arial" w:hAnsi="Arial" w:cs="Arial"/>
          <w:b/>
          <w:i/>
          <w:szCs w:val="22"/>
        </w:rPr>
      </w:pPr>
      <w:r w:rsidRPr="001F4E3D">
        <w:rPr>
          <w:rFonts w:ascii="Arial" w:hAnsi="Arial" w:cs="Arial"/>
          <w:b/>
          <w:i/>
          <w:szCs w:val="22"/>
        </w:rPr>
        <w:t>Updating the LGA’s Gambling Handbook for councils</w:t>
      </w:r>
    </w:p>
    <w:p w:rsidR="000A1896" w:rsidRDefault="00FD18AD" w:rsidP="00D55DF4">
      <w:pPr>
        <w:pStyle w:val="ListParagraph"/>
        <w:numPr>
          <w:ilvl w:val="1"/>
          <w:numId w:val="24"/>
        </w:numPr>
        <w:rPr>
          <w:rFonts w:ascii="Arial" w:hAnsi="Arial" w:cs="Arial"/>
          <w:szCs w:val="22"/>
        </w:rPr>
      </w:pPr>
      <w:r>
        <w:rPr>
          <w:rFonts w:ascii="Arial" w:hAnsi="Arial" w:cs="Arial"/>
          <w:szCs w:val="22"/>
        </w:rPr>
        <w:t>In early 2015, we will publish an updated LGA Gambling Handbook for councillors and officers, to support councils as they develop their new licensing statements of policy by 2016. The update will reflect recent concerns about gambling, and include information about the Betting Commission partnership approach. It will also highlight key information from the forthcoming updates to the Gambling Commission’s licensing conditions and codes of practice for gambling operators and guidance to licensing authorities.</w:t>
      </w:r>
    </w:p>
    <w:p w:rsidR="00FD18AD" w:rsidRDefault="00FD18AD" w:rsidP="00FD18AD">
      <w:pPr>
        <w:pStyle w:val="ListParagraph"/>
        <w:ind w:left="792"/>
        <w:rPr>
          <w:rFonts w:ascii="Arial" w:hAnsi="Arial" w:cs="Arial"/>
          <w:szCs w:val="22"/>
        </w:rPr>
      </w:pPr>
    </w:p>
    <w:p w:rsidR="00FD18AD" w:rsidRDefault="00FD18AD" w:rsidP="00D55DF4">
      <w:pPr>
        <w:pStyle w:val="ListParagraph"/>
        <w:numPr>
          <w:ilvl w:val="1"/>
          <w:numId w:val="24"/>
        </w:numPr>
        <w:rPr>
          <w:rFonts w:ascii="Arial" w:hAnsi="Arial" w:cs="Arial"/>
          <w:szCs w:val="22"/>
        </w:rPr>
      </w:pPr>
      <w:r>
        <w:rPr>
          <w:rFonts w:ascii="Arial" w:hAnsi="Arial" w:cs="Arial"/>
          <w:szCs w:val="22"/>
        </w:rPr>
        <w:t>Alongside this we will also be working with the Gambling Commission to develop a short guidance note on making representations under the Gambling Act 2005.</w:t>
      </w:r>
    </w:p>
    <w:p w:rsidR="001F4E3D" w:rsidRDefault="001F4E3D" w:rsidP="001F4E3D">
      <w:pPr>
        <w:rPr>
          <w:rFonts w:ascii="Arial" w:hAnsi="Arial" w:cs="Arial"/>
          <w:szCs w:val="22"/>
        </w:rPr>
      </w:pPr>
    </w:p>
    <w:p w:rsidR="001F4E3D" w:rsidRPr="001F4E3D" w:rsidRDefault="001F4E3D" w:rsidP="001F4E3D">
      <w:pPr>
        <w:rPr>
          <w:rFonts w:ascii="Arial" w:hAnsi="Arial" w:cs="Arial"/>
          <w:b/>
          <w:i/>
          <w:szCs w:val="22"/>
        </w:rPr>
      </w:pPr>
      <w:r w:rsidRPr="001F4E3D">
        <w:rPr>
          <w:rFonts w:ascii="Arial" w:hAnsi="Arial" w:cs="Arial"/>
          <w:b/>
          <w:i/>
          <w:szCs w:val="22"/>
        </w:rPr>
        <w:t>Funding research into the link between gambling related harm and local areas</w:t>
      </w:r>
    </w:p>
    <w:p w:rsidR="00414B34" w:rsidRDefault="00B04EEF" w:rsidP="00414B34">
      <w:pPr>
        <w:pStyle w:val="ListParagraph"/>
        <w:numPr>
          <w:ilvl w:val="1"/>
          <w:numId w:val="24"/>
        </w:numPr>
        <w:rPr>
          <w:rFonts w:ascii="Arial" w:hAnsi="Arial" w:cs="Arial"/>
          <w:szCs w:val="22"/>
        </w:rPr>
      </w:pPr>
      <w:r>
        <w:rPr>
          <w:rFonts w:ascii="Arial" w:hAnsi="Arial" w:cs="Arial"/>
          <w:szCs w:val="22"/>
        </w:rPr>
        <w:t>Finally, we have also agreed a grant of £30,000 to W</w:t>
      </w:r>
      <w:r w:rsidR="00414B34">
        <w:rPr>
          <w:rFonts w:ascii="Arial" w:hAnsi="Arial" w:cs="Arial"/>
          <w:szCs w:val="22"/>
        </w:rPr>
        <w:t>estminster City Council to part-</w:t>
      </w:r>
      <w:r>
        <w:rPr>
          <w:rFonts w:ascii="Arial" w:hAnsi="Arial" w:cs="Arial"/>
          <w:szCs w:val="22"/>
        </w:rPr>
        <w:t xml:space="preserve">fund a </w:t>
      </w:r>
      <w:r w:rsidR="00414B34">
        <w:rPr>
          <w:rFonts w:ascii="Arial" w:hAnsi="Arial" w:cs="Arial"/>
          <w:szCs w:val="22"/>
        </w:rPr>
        <w:t>research study (being undertaken jointly with Manchester City Council)</w:t>
      </w:r>
      <w:r>
        <w:rPr>
          <w:rFonts w:ascii="Arial" w:hAnsi="Arial" w:cs="Arial"/>
          <w:szCs w:val="22"/>
        </w:rPr>
        <w:t xml:space="preserve"> that aims to </w:t>
      </w:r>
      <w:r w:rsidR="00414B34">
        <w:rPr>
          <w:rFonts w:ascii="Arial" w:hAnsi="Arial" w:cs="Arial"/>
          <w:szCs w:val="22"/>
        </w:rPr>
        <w:t>assess area vulnerability to gambling related harm. The research objectives are to understand groups that are vulnerable to gambling-related harm; explore how vulnerability might be measured locally; and develop a diagnostic tool that measures area vulnerability. This will help the council to develop appropriate gambling strategies and action plans.</w:t>
      </w:r>
    </w:p>
    <w:p w:rsidR="00414B34" w:rsidRDefault="00414B34" w:rsidP="00414B34">
      <w:pPr>
        <w:pStyle w:val="ListParagraph"/>
        <w:ind w:left="792"/>
        <w:rPr>
          <w:rFonts w:ascii="Arial" w:hAnsi="Arial" w:cs="Arial"/>
          <w:szCs w:val="22"/>
        </w:rPr>
      </w:pPr>
    </w:p>
    <w:p w:rsidR="00414B34" w:rsidRDefault="00414B34" w:rsidP="00414B34">
      <w:pPr>
        <w:pStyle w:val="ListParagraph"/>
        <w:numPr>
          <w:ilvl w:val="1"/>
          <w:numId w:val="24"/>
        </w:numPr>
        <w:rPr>
          <w:rFonts w:ascii="Arial" w:hAnsi="Arial" w:cs="Arial"/>
          <w:szCs w:val="22"/>
        </w:rPr>
      </w:pPr>
      <w:r>
        <w:rPr>
          <w:rFonts w:ascii="Arial" w:hAnsi="Arial" w:cs="Arial"/>
          <w:szCs w:val="22"/>
        </w:rPr>
        <w:t>The diagnostic tool and research will be made available to the wider local government sector once the project has concluded.</w:t>
      </w:r>
    </w:p>
    <w:p w:rsidR="00424638" w:rsidRDefault="00424638" w:rsidP="00424638">
      <w:pPr>
        <w:pStyle w:val="ListParagraph"/>
        <w:rPr>
          <w:rFonts w:ascii="Arial" w:hAnsi="Arial" w:cs="Arial"/>
          <w:szCs w:val="22"/>
        </w:rPr>
      </w:pPr>
    </w:p>
    <w:p w:rsidR="005719B7" w:rsidRPr="00E33D03" w:rsidRDefault="005719B7" w:rsidP="005719B7">
      <w:pPr>
        <w:rPr>
          <w:rFonts w:ascii="Arial" w:hAnsi="Arial" w:cs="Arial"/>
          <w:b/>
          <w:sz w:val="24"/>
          <w:szCs w:val="22"/>
        </w:rPr>
      </w:pPr>
      <w:r w:rsidRPr="00E33D03">
        <w:rPr>
          <w:rFonts w:ascii="Arial" w:hAnsi="Arial" w:cs="Arial"/>
          <w:b/>
          <w:sz w:val="24"/>
          <w:szCs w:val="22"/>
        </w:rPr>
        <w:t>Future policy lobbying on changes to the current system of gambling regulation</w:t>
      </w:r>
    </w:p>
    <w:p w:rsidR="005719B7" w:rsidRDefault="005719B7" w:rsidP="005719B7">
      <w:pPr>
        <w:rPr>
          <w:rFonts w:ascii="Arial" w:hAnsi="Arial" w:cs="Arial"/>
          <w:szCs w:val="22"/>
        </w:rPr>
      </w:pPr>
    </w:p>
    <w:p w:rsidR="00424638" w:rsidRPr="00424638" w:rsidRDefault="00424638" w:rsidP="00424638">
      <w:pPr>
        <w:pStyle w:val="MainText"/>
        <w:numPr>
          <w:ilvl w:val="0"/>
          <w:numId w:val="24"/>
        </w:numPr>
        <w:spacing w:line="240" w:lineRule="auto"/>
        <w:rPr>
          <w:rFonts w:ascii="Arial" w:hAnsi="Arial" w:cs="Arial"/>
          <w:szCs w:val="22"/>
        </w:rPr>
      </w:pPr>
      <w:r w:rsidRPr="00424638">
        <w:rPr>
          <w:rFonts w:ascii="Arial" w:hAnsi="Arial" w:cs="Arial"/>
          <w:szCs w:val="22"/>
        </w:rPr>
        <w:t xml:space="preserve">We believe that the multi-faceted approach outlined above will enable councils to shape more effective local gambling regulation. </w:t>
      </w:r>
      <w:r>
        <w:rPr>
          <w:rFonts w:ascii="Arial" w:hAnsi="Arial" w:cs="Arial"/>
          <w:szCs w:val="22"/>
        </w:rPr>
        <w:t xml:space="preserve">However, councillor members of the Betting Commission were also unanimously of the view that </w:t>
      </w:r>
      <w:r w:rsidR="005F18FA">
        <w:rPr>
          <w:rFonts w:ascii="Arial" w:hAnsi="Arial" w:cs="Arial"/>
          <w:szCs w:val="22"/>
        </w:rPr>
        <w:t xml:space="preserve">current </w:t>
      </w:r>
      <w:r w:rsidR="00AE744B">
        <w:rPr>
          <w:rFonts w:ascii="Arial" w:hAnsi="Arial" w:cs="Arial"/>
          <w:szCs w:val="22"/>
        </w:rPr>
        <w:t xml:space="preserve">council </w:t>
      </w:r>
      <w:r w:rsidR="005F18FA">
        <w:rPr>
          <w:rFonts w:ascii="Arial" w:hAnsi="Arial" w:cs="Arial"/>
          <w:szCs w:val="22"/>
        </w:rPr>
        <w:t>controls on betting shop are inadequate</w:t>
      </w:r>
      <w:r w:rsidR="00AE744B">
        <w:rPr>
          <w:rFonts w:ascii="Arial" w:hAnsi="Arial" w:cs="Arial"/>
          <w:szCs w:val="22"/>
        </w:rPr>
        <w:t xml:space="preserve"> and </w:t>
      </w:r>
      <w:r w:rsidR="005F18FA">
        <w:rPr>
          <w:rFonts w:ascii="Arial" w:hAnsi="Arial" w:cs="Arial"/>
          <w:szCs w:val="22"/>
        </w:rPr>
        <w:t>that this will not be addressed through creating a new planning use class for betting and payday loan shops</w:t>
      </w:r>
      <w:r w:rsidR="00AE744B">
        <w:rPr>
          <w:rFonts w:ascii="Arial" w:hAnsi="Arial" w:cs="Arial"/>
          <w:szCs w:val="22"/>
        </w:rPr>
        <w:t xml:space="preserve"> or through the proposed </w:t>
      </w:r>
      <w:r w:rsidR="00DD13A2">
        <w:rPr>
          <w:rFonts w:ascii="Arial" w:hAnsi="Arial" w:cs="Arial"/>
          <w:szCs w:val="22"/>
        </w:rPr>
        <w:t xml:space="preserve">new </w:t>
      </w:r>
      <w:r w:rsidR="00AE744B">
        <w:rPr>
          <w:rFonts w:ascii="Arial" w:hAnsi="Arial" w:cs="Arial"/>
          <w:szCs w:val="22"/>
        </w:rPr>
        <w:t xml:space="preserve">measures relating to FOBTs. A series of policy positions for the LGA to adopt </w:t>
      </w:r>
      <w:r w:rsidR="00E33D03">
        <w:rPr>
          <w:rFonts w:ascii="Arial" w:hAnsi="Arial" w:cs="Arial"/>
          <w:szCs w:val="22"/>
        </w:rPr>
        <w:t>are</w:t>
      </w:r>
      <w:r w:rsidR="00AE744B">
        <w:rPr>
          <w:rFonts w:ascii="Arial" w:hAnsi="Arial" w:cs="Arial"/>
          <w:szCs w:val="22"/>
        </w:rPr>
        <w:t xml:space="preserve"> therefore proposed as follows.</w:t>
      </w:r>
    </w:p>
    <w:p w:rsidR="00424638" w:rsidRDefault="00424638" w:rsidP="00424638">
      <w:pPr>
        <w:rPr>
          <w:rFonts w:ascii="Arial" w:hAnsi="Arial" w:cs="Arial"/>
          <w:szCs w:val="22"/>
        </w:rPr>
      </w:pPr>
    </w:p>
    <w:p w:rsidR="00AE744B" w:rsidRPr="00424638" w:rsidRDefault="00AE744B" w:rsidP="00AE744B">
      <w:pPr>
        <w:rPr>
          <w:rFonts w:ascii="Arial" w:hAnsi="Arial" w:cs="Arial"/>
          <w:b/>
          <w:i/>
          <w:szCs w:val="22"/>
        </w:rPr>
      </w:pPr>
      <w:r w:rsidRPr="00424638">
        <w:rPr>
          <w:rFonts w:ascii="Arial" w:hAnsi="Arial" w:cs="Arial"/>
          <w:b/>
          <w:i/>
          <w:szCs w:val="22"/>
        </w:rPr>
        <w:t>Betting shop clustering</w:t>
      </w:r>
    </w:p>
    <w:p w:rsidR="00AE744B" w:rsidRDefault="00AE744B" w:rsidP="00424638">
      <w:pPr>
        <w:rPr>
          <w:rFonts w:ascii="Arial" w:hAnsi="Arial" w:cs="Arial"/>
          <w:szCs w:val="22"/>
        </w:rPr>
      </w:pPr>
    </w:p>
    <w:p w:rsidR="005F0364" w:rsidRDefault="00414B34" w:rsidP="00AE744B">
      <w:pPr>
        <w:pStyle w:val="ListParagraph"/>
        <w:numPr>
          <w:ilvl w:val="1"/>
          <w:numId w:val="24"/>
        </w:numPr>
        <w:rPr>
          <w:rFonts w:ascii="Arial" w:hAnsi="Arial" w:cs="Arial"/>
          <w:szCs w:val="22"/>
        </w:rPr>
      </w:pPr>
      <w:r>
        <w:rPr>
          <w:rFonts w:ascii="Arial" w:hAnsi="Arial" w:cs="Arial"/>
          <w:szCs w:val="22"/>
        </w:rPr>
        <w:t>Existing clustering will only reduce as and when current shops close. However,</w:t>
      </w:r>
      <w:r w:rsidR="00424638">
        <w:rPr>
          <w:rFonts w:ascii="Arial" w:hAnsi="Arial" w:cs="Arial"/>
          <w:szCs w:val="22"/>
        </w:rPr>
        <w:t xml:space="preserve"> there is a strong likelihood that as the largest chains close premises, challenger brands will seek to acquire new premises,</w:t>
      </w:r>
      <w:r w:rsidR="00DD13A2">
        <w:rPr>
          <w:rFonts w:ascii="Arial" w:hAnsi="Arial" w:cs="Arial"/>
          <w:szCs w:val="22"/>
        </w:rPr>
        <w:t xml:space="preserve"> and / or that</w:t>
      </w:r>
      <w:r w:rsidR="004153AC">
        <w:rPr>
          <w:rFonts w:ascii="Arial" w:hAnsi="Arial" w:cs="Arial"/>
          <w:szCs w:val="22"/>
        </w:rPr>
        <w:t xml:space="preserve"> larger brands will continue to seek </w:t>
      </w:r>
      <w:r w:rsidR="004153AC">
        <w:rPr>
          <w:rFonts w:ascii="Arial" w:hAnsi="Arial" w:cs="Arial"/>
          <w:szCs w:val="22"/>
        </w:rPr>
        <w:lastRenderedPageBreak/>
        <w:t>transfers of licences from independent bookmakers</w:t>
      </w:r>
      <w:r w:rsidR="00DD13A2">
        <w:rPr>
          <w:rFonts w:ascii="Arial" w:hAnsi="Arial" w:cs="Arial"/>
          <w:szCs w:val="22"/>
        </w:rPr>
        <w:t>, meaning that the issue of clustering could be perpetuated</w:t>
      </w:r>
      <w:r w:rsidR="004153AC">
        <w:rPr>
          <w:rFonts w:ascii="Arial" w:hAnsi="Arial" w:cs="Arial"/>
          <w:szCs w:val="22"/>
        </w:rPr>
        <w:t>.</w:t>
      </w:r>
    </w:p>
    <w:p w:rsidR="00D30E56" w:rsidRDefault="00D30E56" w:rsidP="00D30E56">
      <w:pPr>
        <w:pStyle w:val="ListParagraph"/>
        <w:ind w:left="360"/>
        <w:rPr>
          <w:rFonts w:ascii="Arial" w:hAnsi="Arial" w:cs="Arial"/>
          <w:szCs w:val="22"/>
        </w:rPr>
      </w:pPr>
    </w:p>
    <w:p w:rsidR="004153AC" w:rsidRDefault="004153AC" w:rsidP="00AE744B">
      <w:pPr>
        <w:pStyle w:val="ListParagraph"/>
        <w:numPr>
          <w:ilvl w:val="1"/>
          <w:numId w:val="24"/>
        </w:numPr>
        <w:rPr>
          <w:rFonts w:ascii="Arial" w:hAnsi="Arial" w:cs="Arial"/>
          <w:szCs w:val="22"/>
        </w:rPr>
      </w:pPr>
      <w:r>
        <w:rPr>
          <w:rFonts w:ascii="Arial" w:hAnsi="Arial" w:cs="Arial"/>
          <w:szCs w:val="22"/>
        </w:rPr>
        <w:t xml:space="preserve">To address this issue, the </w:t>
      </w:r>
      <w:r w:rsidRPr="00D30E56">
        <w:rPr>
          <w:rFonts w:ascii="Arial" w:hAnsi="Arial" w:cs="Arial"/>
          <w:b/>
          <w:szCs w:val="22"/>
        </w:rPr>
        <w:t>government should amend the Gambling Act 2005 to reintroduce the demand test</w:t>
      </w:r>
      <w:r>
        <w:rPr>
          <w:rFonts w:ascii="Arial" w:hAnsi="Arial" w:cs="Arial"/>
          <w:szCs w:val="22"/>
        </w:rPr>
        <w:t xml:space="preserve">; additionally, </w:t>
      </w:r>
      <w:r w:rsidRPr="00D30E56">
        <w:rPr>
          <w:rFonts w:ascii="Arial" w:hAnsi="Arial" w:cs="Arial"/>
          <w:b/>
          <w:szCs w:val="22"/>
        </w:rPr>
        <w:t>councils should have the statutory right to create cumulative impact zones</w:t>
      </w:r>
      <w:r>
        <w:rPr>
          <w:rFonts w:ascii="Arial" w:hAnsi="Arial" w:cs="Arial"/>
          <w:szCs w:val="22"/>
        </w:rPr>
        <w:t xml:space="preserve"> in stress areas where there are already high numbers of betting shops.</w:t>
      </w:r>
    </w:p>
    <w:p w:rsidR="00D30E56" w:rsidRDefault="00D30E56" w:rsidP="00D30E56">
      <w:pPr>
        <w:pStyle w:val="ListParagraph"/>
        <w:ind w:left="792"/>
        <w:rPr>
          <w:rFonts w:ascii="Arial" w:hAnsi="Arial" w:cs="Arial"/>
          <w:szCs w:val="22"/>
        </w:rPr>
      </w:pPr>
    </w:p>
    <w:p w:rsidR="004153AC" w:rsidRDefault="004153AC" w:rsidP="00AE744B">
      <w:pPr>
        <w:pStyle w:val="ListParagraph"/>
        <w:numPr>
          <w:ilvl w:val="1"/>
          <w:numId w:val="24"/>
        </w:numPr>
        <w:rPr>
          <w:rFonts w:ascii="Arial" w:hAnsi="Arial" w:cs="Arial"/>
          <w:szCs w:val="22"/>
        </w:rPr>
      </w:pPr>
      <w:r>
        <w:rPr>
          <w:rFonts w:ascii="Arial" w:hAnsi="Arial" w:cs="Arial"/>
          <w:szCs w:val="22"/>
        </w:rPr>
        <w:t xml:space="preserve">To ensure maximum effectiveness of these tools, the </w:t>
      </w:r>
      <w:r w:rsidRPr="00D30E56">
        <w:rPr>
          <w:rFonts w:ascii="Arial" w:hAnsi="Arial" w:cs="Arial"/>
          <w:b/>
          <w:szCs w:val="22"/>
        </w:rPr>
        <w:t>onus should be on an applicant to prove that there is a demand for an additional premise</w:t>
      </w:r>
      <w:r>
        <w:rPr>
          <w:rFonts w:ascii="Arial" w:hAnsi="Arial" w:cs="Arial"/>
          <w:szCs w:val="22"/>
        </w:rPr>
        <w:t>, rather than for a council to prove that there is not.</w:t>
      </w:r>
    </w:p>
    <w:p w:rsidR="00D30E56" w:rsidRPr="00D30E56" w:rsidRDefault="00D30E56" w:rsidP="00D30E56">
      <w:pPr>
        <w:rPr>
          <w:rFonts w:ascii="Arial" w:hAnsi="Arial" w:cs="Arial"/>
          <w:szCs w:val="22"/>
        </w:rPr>
      </w:pPr>
    </w:p>
    <w:p w:rsidR="004153AC" w:rsidRDefault="004153AC" w:rsidP="00AE744B">
      <w:pPr>
        <w:pStyle w:val="ListParagraph"/>
        <w:numPr>
          <w:ilvl w:val="1"/>
          <w:numId w:val="24"/>
        </w:numPr>
        <w:rPr>
          <w:rFonts w:ascii="Arial" w:hAnsi="Arial" w:cs="Arial"/>
          <w:szCs w:val="22"/>
        </w:rPr>
      </w:pPr>
      <w:r>
        <w:rPr>
          <w:rFonts w:ascii="Arial" w:hAnsi="Arial" w:cs="Arial"/>
          <w:szCs w:val="22"/>
        </w:rPr>
        <w:t xml:space="preserve">In taking this position, the LGA should – as previously – acknowledge that clustering of any type of business activity can be damaging, whether betting shops, estate agents, coffee shops or charity shops. However, </w:t>
      </w:r>
      <w:r w:rsidR="00D30E56">
        <w:rPr>
          <w:rFonts w:ascii="Arial" w:hAnsi="Arial" w:cs="Arial"/>
          <w:szCs w:val="22"/>
        </w:rPr>
        <w:t>in regard to betting shops the</w:t>
      </w:r>
      <w:r>
        <w:rPr>
          <w:rFonts w:ascii="Arial" w:hAnsi="Arial" w:cs="Arial"/>
          <w:szCs w:val="22"/>
        </w:rPr>
        <w:t xml:space="preserve"> licensing route, rather than the planning framework, is the appropriate mechanism for addressing concerns about betting shop clustering.</w:t>
      </w:r>
    </w:p>
    <w:p w:rsidR="009D03AA" w:rsidRDefault="009D03AA" w:rsidP="009D03AA">
      <w:pPr>
        <w:rPr>
          <w:rFonts w:ascii="Arial" w:hAnsi="Arial" w:cs="Arial"/>
          <w:szCs w:val="22"/>
        </w:rPr>
      </w:pPr>
    </w:p>
    <w:p w:rsidR="009D03AA" w:rsidRDefault="009D03AA" w:rsidP="009D03AA">
      <w:pPr>
        <w:rPr>
          <w:rFonts w:ascii="Arial" w:hAnsi="Arial" w:cs="Arial"/>
          <w:b/>
          <w:i/>
          <w:szCs w:val="22"/>
        </w:rPr>
      </w:pPr>
      <w:r w:rsidRPr="009D03AA">
        <w:rPr>
          <w:rFonts w:ascii="Arial" w:hAnsi="Arial" w:cs="Arial"/>
          <w:b/>
          <w:i/>
          <w:szCs w:val="22"/>
        </w:rPr>
        <w:t>Gambling Act objectives</w:t>
      </w:r>
    </w:p>
    <w:p w:rsidR="00AE744B" w:rsidRPr="009D03AA" w:rsidRDefault="00AE744B" w:rsidP="009D03AA">
      <w:pPr>
        <w:rPr>
          <w:rFonts w:ascii="Arial" w:hAnsi="Arial" w:cs="Arial"/>
          <w:b/>
          <w:i/>
          <w:szCs w:val="22"/>
        </w:rPr>
      </w:pPr>
    </w:p>
    <w:p w:rsidR="00AE744B" w:rsidRDefault="00DD13A2" w:rsidP="000D2500">
      <w:pPr>
        <w:pStyle w:val="ListParagraph"/>
        <w:numPr>
          <w:ilvl w:val="0"/>
          <w:numId w:val="24"/>
        </w:numPr>
        <w:rPr>
          <w:rFonts w:ascii="Arial" w:hAnsi="Arial" w:cs="Arial"/>
          <w:szCs w:val="22"/>
        </w:rPr>
      </w:pPr>
      <w:r>
        <w:rPr>
          <w:rFonts w:ascii="Arial" w:hAnsi="Arial" w:cs="Arial"/>
          <w:szCs w:val="22"/>
        </w:rPr>
        <w:t>It i</w:t>
      </w:r>
      <w:r w:rsidR="009D03AA">
        <w:rPr>
          <w:rFonts w:ascii="Arial" w:hAnsi="Arial" w:cs="Arial"/>
          <w:szCs w:val="22"/>
        </w:rPr>
        <w:t xml:space="preserve">s also proposed that the </w:t>
      </w:r>
      <w:r w:rsidR="009D03AA" w:rsidRPr="00D30E56">
        <w:rPr>
          <w:rFonts w:ascii="Arial" w:hAnsi="Arial" w:cs="Arial"/>
          <w:b/>
          <w:szCs w:val="22"/>
        </w:rPr>
        <w:t xml:space="preserve">LGA should </w:t>
      </w:r>
      <w:r w:rsidR="00AE744B">
        <w:rPr>
          <w:rFonts w:ascii="Arial" w:hAnsi="Arial" w:cs="Arial"/>
          <w:b/>
          <w:szCs w:val="22"/>
        </w:rPr>
        <w:t>call for the addition of new Gambling Act</w:t>
      </w:r>
      <w:r w:rsidR="009D03AA" w:rsidRPr="00D30E56">
        <w:rPr>
          <w:rFonts w:ascii="Arial" w:hAnsi="Arial" w:cs="Arial"/>
          <w:b/>
          <w:szCs w:val="22"/>
        </w:rPr>
        <w:t xml:space="preserve"> objectives</w:t>
      </w:r>
      <w:r w:rsidR="00AE744B">
        <w:rPr>
          <w:rFonts w:ascii="Arial" w:hAnsi="Arial" w:cs="Arial"/>
          <w:b/>
          <w:szCs w:val="22"/>
        </w:rPr>
        <w:t xml:space="preserve">. </w:t>
      </w:r>
      <w:r w:rsidR="00AE744B" w:rsidRPr="00AE744B">
        <w:rPr>
          <w:rFonts w:ascii="Arial" w:hAnsi="Arial" w:cs="Arial"/>
          <w:szCs w:val="22"/>
        </w:rPr>
        <w:t>Specifically:</w:t>
      </w:r>
    </w:p>
    <w:p w:rsidR="00AE744B" w:rsidRPr="00AE744B" w:rsidRDefault="00AE744B" w:rsidP="00AE744B">
      <w:pPr>
        <w:pStyle w:val="ListParagraph"/>
        <w:ind w:left="360"/>
        <w:rPr>
          <w:rFonts w:ascii="Arial" w:hAnsi="Arial" w:cs="Arial"/>
          <w:szCs w:val="22"/>
        </w:rPr>
      </w:pPr>
    </w:p>
    <w:p w:rsidR="00AE744B" w:rsidRDefault="00AE744B" w:rsidP="00AE744B">
      <w:pPr>
        <w:pStyle w:val="ListParagraph"/>
        <w:numPr>
          <w:ilvl w:val="1"/>
          <w:numId w:val="24"/>
        </w:numPr>
        <w:rPr>
          <w:rFonts w:ascii="Arial" w:hAnsi="Arial" w:cs="Arial"/>
          <w:szCs w:val="22"/>
        </w:rPr>
      </w:pPr>
      <w:r w:rsidRPr="00AE744B">
        <w:rPr>
          <w:rFonts w:ascii="Arial" w:hAnsi="Arial" w:cs="Arial"/>
          <w:szCs w:val="22"/>
        </w:rPr>
        <w:t xml:space="preserve">An objective relating to </w:t>
      </w:r>
      <w:r w:rsidRPr="00AE744B">
        <w:rPr>
          <w:rFonts w:ascii="Arial" w:hAnsi="Arial" w:cs="Arial"/>
          <w:b/>
          <w:szCs w:val="22"/>
        </w:rPr>
        <w:t>the prevention of public nuisance</w:t>
      </w:r>
      <w:r w:rsidRPr="00AE744B">
        <w:rPr>
          <w:rFonts w:ascii="Arial" w:hAnsi="Arial" w:cs="Arial"/>
          <w:szCs w:val="22"/>
        </w:rPr>
        <w:t>.</w:t>
      </w:r>
      <w:r>
        <w:rPr>
          <w:rFonts w:ascii="Arial" w:hAnsi="Arial" w:cs="Arial"/>
          <w:szCs w:val="22"/>
        </w:rPr>
        <w:t xml:space="preserve"> This is one of the four objectives under the Licensing Act, and offers a more effective threshold for tackling lower-level anti-social behaviour that can equally apply to betting premises as well as premises serving alcohol.</w:t>
      </w:r>
    </w:p>
    <w:p w:rsidR="00AE744B" w:rsidRDefault="00AE744B" w:rsidP="00AE744B">
      <w:pPr>
        <w:pStyle w:val="ListParagraph"/>
        <w:ind w:left="792"/>
        <w:rPr>
          <w:rFonts w:ascii="Arial" w:hAnsi="Arial" w:cs="Arial"/>
          <w:szCs w:val="22"/>
        </w:rPr>
      </w:pPr>
    </w:p>
    <w:p w:rsidR="009915A1" w:rsidRPr="00AE744B" w:rsidRDefault="00AE744B" w:rsidP="00AE744B">
      <w:pPr>
        <w:pStyle w:val="ListParagraph"/>
        <w:numPr>
          <w:ilvl w:val="1"/>
          <w:numId w:val="24"/>
        </w:numPr>
        <w:rPr>
          <w:rFonts w:ascii="Arial" w:hAnsi="Arial" w:cs="Arial"/>
          <w:color w:val="000000"/>
          <w:szCs w:val="18"/>
        </w:rPr>
      </w:pPr>
      <w:r w:rsidRPr="00AE744B">
        <w:rPr>
          <w:rFonts w:ascii="Arial" w:hAnsi="Arial" w:cs="Arial"/>
          <w:szCs w:val="22"/>
        </w:rPr>
        <w:t>In line with our Rewiring Licensing proposals,</w:t>
      </w:r>
      <w:r>
        <w:rPr>
          <w:rFonts w:ascii="Arial" w:hAnsi="Arial" w:cs="Arial"/>
          <w:b/>
          <w:szCs w:val="22"/>
        </w:rPr>
        <w:t xml:space="preserve"> a public health objective. </w:t>
      </w:r>
    </w:p>
    <w:p w:rsidR="00AE744B" w:rsidRPr="000D2500" w:rsidRDefault="00AE744B" w:rsidP="00AE744B">
      <w:pPr>
        <w:pStyle w:val="ListParagraph"/>
        <w:ind w:left="792"/>
        <w:rPr>
          <w:rFonts w:ascii="Arial" w:hAnsi="Arial" w:cs="Arial"/>
          <w:color w:val="000000"/>
          <w:szCs w:val="18"/>
        </w:rPr>
      </w:pPr>
    </w:p>
    <w:p w:rsidR="009915A1" w:rsidRDefault="00424638" w:rsidP="009915A1">
      <w:pPr>
        <w:rPr>
          <w:rFonts w:ascii="Arial" w:hAnsi="Arial" w:cs="Arial"/>
          <w:b/>
          <w:i/>
          <w:szCs w:val="22"/>
        </w:rPr>
      </w:pPr>
      <w:r w:rsidRPr="00424638">
        <w:rPr>
          <w:rFonts w:ascii="Arial" w:hAnsi="Arial" w:cs="Arial"/>
          <w:b/>
          <w:i/>
          <w:szCs w:val="22"/>
        </w:rPr>
        <w:t>Fixed odds betting terminals</w:t>
      </w:r>
      <w:r>
        <w:rPr>
          <w:rFonts w:ascii="Arial" w:hAnsi="Arial" w:cs="Arial"/>
          <w:b/>
          <w:i/>
          <w:szCs w:val="22"/>
        </w:rPr>
        <w:t xml:space="preserve"> </w:t>
      </w:r>
    </w:p>
    <w:p w:rsidR="009915A1" w:rsidRPr="00424638" w:rsidRDefault="009915A1" w:rsidP="009915A1">
      <w:pPr>
        <w:rPr>
          <w:rFonts w:ascii="Arial" w:hAnsi="Arial" w:cs="Arial"/>
          <w:b/>
          <w:i/>
          <w:szCs w:val="22"/>
        </w:rPr>
      </w:pPr>
    </w:p>
    <w:p w:rsidR="005F0364" w:rsidRDefault="009915A1" w:rsidP="00AE744B">
      <w:pPr>
        <w:pStyle w:val="ListParagraph"/>
        <w:numPr>
          <w:ilvl w:val="1"/>
          <w:numId w:val="24"/>
        </w:numPr>
        <w:rPr>
          <w:rFonts w:ascii="Arial" w:hAnsi="Arial" w:cs="Arial"/>
          <w:szCs w:val="22"/>
        </w:rPr>
      </w:pPr>
      <w:r w:rsidRPr="00D55DF4">
        <w:rPr>
          <w:rFonts w:ascii="Arial" w:hAnsi="Arial" w:cs="Arial"/>
          <w:szCs w:val="22"/>
        </w:rPr>
        <w:t xml:space="preserve">The meeting in October also discussed the issue of FOBT stakes. </w:t>
      </w:r>
      <w:r w:rsidR="00AE744B">
        <w:rPr>
          <w:rFonts w:ascii="Arial" w:hAnsi="Arial" w:cs="Arial"/>
          <w:szCs w:val="22"/>
        </w:rPr>
        <w:t>The</w:t>
      </w:r>
      <w:r w:rsidRPr="00D55DF4">
        <w:rPr>
          <w:rFonts w:ascii="Arial" w:hAnsi="Arial" w:cs="Arial"/>
          <w:szCs w:val="22"/>
        </w:rPr>
        <w:t xml:space="preserve"> LB Newham / Campaign for Fairer Gambling Sustainable Communities Act </w:t>
      </w:r>
      <w:r w:rsidR="00AE744B">
        <w:rPr>
          <w:rFonts w:ascii="Arial" w:hAnsi="Arial" w:cs="Arial"/>
          <w:szCs w:val="22"/>
        </w:rPr>
        <w:t>are developing a Sustainable Communities Act proposal to</w:t>
      </w:r>
      <w:r w:rsidRPr="008C236F">
        <w:rPr>
          <w:rFonts w:ascii="Arial" w:hAnsi="Arial" w:cs="Arial"/>
          <w:szCs w:val="22"/>
        </w:rPr>
        <w:t xml:space="preserve"> reduce the maximum FOBT stake from £100 to £2. </w:t>
      </w:r>
    </w:p>
    <w:p w:rsidR="009915A1" w:rsidRPr="00D55DF4" w:rsidRDefault="009915A1" w:rsidP="00AE744B">
      <w:pPr>
        <w:pStyle w:val="ListParagraph"/>
        <w:ind w:left="360"/>
        <w:rPr>
          <w:rFonts w:ascii="Arial" w:hAnsi="Arial" w:cs="Arial"/>
          <w:szCs w:val="22"/>
        </w:rPr>
      </w:pPr>
    </w:p>
    <w:p w:rsidR="00DA3443" w:rsidRPr="00AE744B" w:rsidRDefault="008C236F" w:rsidP="00AE744B">
      <w:pPr>
        <w:pStyle w:val="ListParagraph"/>
        <w:numPr>
          <w:ilvl w:val="1"/>
          <w:numId w:val="24"/>
        </w:numPr>
        <w:rPr>
          <w:rFonts w:ascii="Arial" w:hAnsi="Arial" w:cs="Arial"/>
          <w:szCs w:val="22"/>
        </w:rPr>
      </w:pPr>
      <w:r w:rsidRPr="00AE744B">
        <w:rPr>
          <w:rFonts w:ascii="Arial" w:hAnsi="Arial" w:cs="Arial"/>
          <w:szCs w:val="22"/>
        </w:rPr>
        <w:t>Our</w:t>
      </w:r>
      <w:r w:rsidR="00DA3443" w:rsidRPr="00AE744B">
        <w:rPr>
          <w:rFonts w:ascii="Arial" w:hAnsi="Arial" w:cs="Arial"/>
          <w:szCs w:val="22"/>
        </w:rPr>
        <w:t xml:space="preserve"> discussion</w:t>
      </w:r>
      <w:r w:rsidRPr="00AE744B">
        <w:rPr>
          <w:rFonts w:ascii="Arial" w:hAnsi="Arial" w:cs="Arial"/>
          <w:szCs w:val="22"/>
        </w:rPr>
        <w:t>s</w:t>
      </w:r>
      <w:r w:rsidR="00DA3443" w:rsidRPr="00AE744B">
        <w:rPr>
          <w:rFonts w:ascii="Arial" w:hAnsi="Arial" w:cs="Arial"/>
          <w:szCs w:val="22"/>
        </w:rPr>
        <w:t xml:space="preserve"> on FOBTs</w:t>
      </w:r>
      <w:r w:rsidRPr="00AE744B">
        <w:rPr>
          <w:rFonts w:ascii="Arial" w:hAnsi="Arial" w:cs="Arial"/>
          <w:szCs w:val="22"/>
        </w:rPr>
        <w:t xml:space="preserve"> have</w:t>
      </w:r>
      <w:r w:rsidR="00DA3443" w:rsidRPr="00AE744B">
        <w:rPr>
          <w:rFonts w:ascii="Arial" w:hAnsi="Arial" w:cs="Arial"/>
          <w:szCs w:val="22"/>
        </w:rPr>
        <w:t xml:space="preserve"> focused on the risk to those who cannot afford to lose large sums of money on machines</w:t>
      </w:r>
      <w:r w:rsidR="004B58C7" w:rsidRPr="00AE744B">
        <w:rPr>
          <w:rFonts w:ascii="Arial" w:hAnsi="Arial" w:cs="Arial"/>
          <w:szCs w:val="22"/>
        </w:rPr>
        <w:t>, rather than on the link to clustering, which Newham’s campaign highlights</w:t>
      </w:r>
      <w:r w:rsidR="00DA3443" w:rsidRPr="00AE744B">
        <w:rPr>
          <w:rFonts w:ascii="Arial" w:hAnsi="Arial" w:cs="Arial"/>
          <w:szCs w:val="22"/>
        </w:rPr>
        <w:t>. Concern was noted that simply reduc</w:t>
      </w:r>
      <w:r w:rsidR="004B58C7" w:rsidRPr="00AE744B">
        <w:rPr>
          <w:rFonts w:ascii="Arial" w:hAnsi="Arial" w:cs="Arial"/>
          <w:szCs w:val="22"/>
        </w:rPr>
        <w:t>ing FOBT stakes does not remove the</w:t>
      </w:r>
      <w:r w:rsidR="00DA3443" w:rsidRPr="00AE744B">
        <w:rPr>
          <w:rFonts w:ascii="Arial" w:hAnsi="Arial" w:cs="Arial"/>
          <w:szCs w:val="22"/>
        </w:rPr>
        <w:t xml:space="preserve"> risk</w:t>
      </w:r>
      <w:r w:rsidR="004B58C7" w:rsidRPr="00AE744B">
        <w:rPr>
          <w:rFonts w:ascii="Arial" w:hAnsi="Arial" w:cs="Arial"/>
          <w:szCs w:val="22"/>
        </w:rPr>
        <w:t xml:space="preserve"> of people gambling large amounts of money they cannot afford to</w:t>
      </w:r>
      <w:r w:rsidR="00DA3443" w:rsidRPr="00AE744B">
        <w:rPr>
          <w:rFonts w:ascii="Arial" w:hAnsi="Arial" w:cs="Arial"/>
          <w:szCs w:val="22"/>
        </w:rPr>
        <w:t>, as there is nothing to stop an individual from gambling £2 fifty times. Members therefore felt that the process of inserting money to machines should be slowed</w:t>
      </w:r>
      <w:r w:rsidR="004B58C7" w:rsidRPr="00AE744B">
        <w:rPr>
          <w:rFonts w:ascii="Arial" w:hAnsi="Arial" w:cs="Arial"/>
          <w:szCs w:val="22"/>
        </w:rPr>
        <w:t>; accordingly, our</w:t>
      </w:r>
      <w:r w:rsidR="00DA3443" w:rsidRPr="00AE744B">
        <w:rPr>
          <w:rFonts w:ascii="Arial" w:hAnsi="Arial" w:cs="Arial"/>
          <w:szCs w:val="22"/>
        </w:rPr>
        <w:t xml:space="preserve"> response to the recent Gambling Commission consultation </w:t>
      </w:r>
      <w:r w:rsidR="004B58C7" w:rsidRPr="00AE744B">
        <w:rPr>
          <w:rFonts w:ascii="Arial" w:hAnsi="Arial" w:cs="Arial"/>
          <w:szCs w:val="22"/>
        </w:rPr>
        <w:t>reflected this view</w:t>
      </w:r>
      <w:r w:rsidR="00DA3443" w:rsidRPr="00AE744B">
        <w:rPr>
          <w:rFonts w:ascii="Arial" w:hAnsi="Arial" w:cs="Arial"/>
          <w:szCs w:val="22"/>
        </w:rPr>
        <w:t xml:space="preserve">. Furthermore, the </w:t>
      </w:r>
      <w:r w:rsidR="00DA3443" w:rsidRPr="00AE744B">
        <w:rPr>
          <w:rFonts w:ascii="Arial" w:hAnsi="Arial" w:cs="Arial"/>
          <w:b/>
          <w:szCs w:val="22"/>
        </w:rPr>
        <w:t>importance of developing further player protection measures based on the forthcoming research exploring harmful patterns of play on gaming machines was emphasised</w:t>
      </w:r>
      <w:r w:rsidR="00DA3443" w:rsidRPr="00AE744B">
        <w:rPr>
          <w:rFonts w:ascii="Arial" w:hAnsi="Arial" w:cs="Arial"/>
          <w:szCs w:val="22"/>
        </w:rPr>
        <w:t>.</w:t>
      </w:r>
    </w:p>
    <w:p w:rsidR="00DA3443" w:rsidRPr="00DA3443" w:rsidRDefault="00DA3443" w:rsidP="00DA3443">
      <w:pPr>
        <w:pStyle w:val="ListParagraph"/>
        <w:rPr>
          <w:rFonts w:ascii="Arial" w:hAnsi="Arial" w:cs="Arial"/>
          <w:szCs w:val="22"/>
        </w:rPr>
      </w:pPr>
    </w:p>
    <w:p w:rsidR="0080526E" w:rsidRPr="0080526E" w:rsidRDefault="00DA3443" w:rsidP="0080526E">
      <w:pPr>
        <w:pStyle w:val="ListParagraph"/>
        <w:numPr>
          <w:ilvl w:val="1"/>
          <w:numId w:val="24"/>
        </w:numPr>
        <w:rPr>
          <w:rFonts w:ascii="Arial" w:hAnsi="Arial" w:cs="Arial"/>
          <w:szCs w:val="22"/>
        </w:rPr>
      </w:pPr>
      <w:r w:rsidRPr="004B58C7">
        <w:rPr>
          <w:rFonts w:ascii="Arial" w:hAnsi="Arial" w:cs="Arial"/>
          <w:szCs w:val="22"/>
        </w:rPr>
        <w:t xml:space="preserve">However, it was also noted that the recent government requirement for anyone gambling more than £50 on a FOBT to engage with a betting shop manager or use account based play would be largely ineffective, since in deprived areas typical </w:t>
      </w:r>
      <w:r w:rsidRPr="004B58C7">
        <w:rPr>
          <w:rFonts w:ascii="Arial" w:hAnsi="Arial" w:cs="Arial"/>
          <w:szCs w:val="22"/>
        </w:rPr>
        <w:lastRenderedPageBreak/>
        <w:t>stakes are around £20-£30.</w:t>
      </w:r>
      <w:r w:rsidR="004B58C7">
        <w:rPr>
          <w:rFonts w:ascii="Arial" w:hAnsi="Arial" w:cs="Arial"/>
          <w:szCs w:val="22"/>
        </w:rPr>
        <w:t xml:space="preserve"> </w:t>
      </w:r>
      <w:r w:rsidR="0080526E" w:rsidRPr="0080526E">
        <w:rPr>
          <w:rFonts w:ascii="Arial" w:hAnsi="Arial" w:cs="Arial"/>
          <w:b/>
        </w:rPr>
        <w:t xml:space="preserve">On balance, it was agreed that it was desirable for FOBT (B2) stakes to be brought into line with maximum stakes for other types of gaming machine. </w:t>
      </w:r>
      <w:r w:rsidR="0080526E" w:rsidRPr="0080526E">
        <w:rPr>
          <w:rFonts w:ascii="Arial" w:hAnsi="Arial" w:cs="Arial"/>
        </w:rPr>
        <w:t xml:space="preserve">Current maximum stakes for other gaming machines </w:t>
      </w:r>
      <w:r w:rsidR="0080526E">
        <w:rPr>
          <w:rFonts w:ascii="Arial" w:hAnsi="Arial" w:cs="Arial"/>
        </w:rPr>
        <w:t>allowed in betting shop premises are £2 and £5 in casinos</w:t>
      </w:r>
      <w:r w:rsidR="0080526E" w:rsidRPr="0080526E">
        <w:rPr>
          <w:rFonts w:ascii="Arial" w:hAnsi="Arial" w:cs="Arial"/>
        </w:rPr>
        <w:t>.</w:t>
      </w:r>
    </w:p>
    <w:p w:rsidR="0087546A" w:rsidRPr="0021114E" w:rsidRDefault="0087546A" w:rsidP="009915A1">
      <w:pPr>
        <w:rPr>
          <w:rFonts w:ascii="Arial" w:hAnsi="Arial" w:cs="Arial"/>
          <w:szCs w:val="22"/>
        </w:rPr>
      </w:pPr>
    </w:p>
    <w:p w:rsidR="0087546A" w:rsidRPr="00E278A1" w:rsidRDefault="004B58C7" w:rsidP="004B58C7">
      <w:pPr>
        <w:pStyle w:val="ListParagraph"/>
        <w:numPr>
          <w:ilvl w:val="1"/>
          <w:numId w:val="24"/>
        </w:numPr>
        <w:rPr>
          <w:rFonts w:ascii="Arial" w:hAnsi="Arial" w:cs="Arial"/>
          <w:szCs w:val="22"/>
        </w:rPr>
      </w:pPr>
      <w:r>
        <w:rPr>
          <w:rFonts w:ascii="Arial" w:hAnsi="Arial" w:cs="Arial"/>
          <w:szCs w:val="22"/>
        </w:rPr>
        <w:t xml:space="preserve">It was also suggested that councils should have the power to determine that a </w:t>
      </w:r>
      <w:r w:rsidR="00E278A1">
        <w:rPr>
          <w:rFonts w:ascii="Arial" w:hAnsi="Arial" w:cs="Arial"/>
          <w:szCs w:val="22"/>
        </w:rPr>
        <w:t xml:space="preserve">betting shop should not include any FOBTs, for example being able to apply a demand test specifically to FOBTs. </w:t>
      </w:r>
      <w:r w:rsidR="00E278A1">
        <w:rPr>
          <w:rFonts w:ascii="Arial" w:hAnsi="Arial" w:cs="Arial"/>
          <w:szCs w:val="24"/>
        </w:rPr>
        <w:t>We</w:t>
      </w:r>
      <w:r w:rsidR="00E278A1" w:rsidRPr="00E278A1">
        <w:rPr>
          <w:rFonts w:ascii="Arial" w:hAnsi="Arial" w:cs="Arial"/>
          <w:szCs w:val="24"/>
        </w:rPr>
        <w:t xml:space="preserve"> have previously argued that incorporating the ‘primary activity’ test into the Gambling Act would enable councils to refuse licences where they do not believe the primary focus of the shop will be betting rather than gaming. Councils that have tried to refuse licences based on the references to primary activity in the Gambling Act guidance have been the subject of successful legal challenges.</w:t>
      </w:r>
      <w:r w:rsidR="00E278A1">
        <w:rPr>
          <w:rFonts w:ascii="Arial" w:hAnsi="Arial" w:cs="Arial"/>
          <w:szCs w:val="24"/>
        </w:rPr>
        <w:t xml:space="preserve"> </w:t>
      </w:r>
      <w:r w:rsidR="00E278A1" w:rsidRPr="00D30E56">
        <w:rPr>
          <w:rFonts w:ascii="Arial" w:hAnsi="Arial" w:cs="Arial"/>
          <w:b/>
          <w:szCs w:val="24"/>
        </w:rPr>
        <w:t>It is proposed that the</w:t>
      </w:r>
      <w:r w:rsidR="00F12E7C" w:rsidRPr="00D30E56">
        <w:rPr>
          <w:rFonts w:ascii="Arial" w:hAnsi="Arial" w:cs="Arial"/>
          <w:b/>
          <w:szCs w:val="24"/>
        </w:rPr>
        <w:t xml:space="preserve"> LGA should therefore continue to support</w:t>
      </w:r>
      <w:r w:rsidR="00E278A1" w:rsidRPr="00D30E56">
        <w:rPr>
          <w:rFonts w:ascii="Arial" w:hAnsi="Arial" w:cs="Arial"/>
          <w:b/>
          <w:szCs w:val="24"/>
        </w:rPr>
        <w:t xml:space="preserve"> </w:t>
      </w:r>
      <w:r w:rsidR="00F12E7C" w:rsidRPr="00D30E56">
        <w:rPr>
          <w:rFonts w:ascii="Arial" w:hAnsi="Arial" w:cs="Arial"/>
          <w:b/>
          <w:szCs w:val="24"/>
        </w:rPr>
        <w:t xml:space="preserve">the </w:t>
      </w:r>
      <w:r w:rsidR="00E278A1" w:rsidRPr="00D30E56">
        <w:rPr>
          <w:rFonts w:ascii="Arial" w:hAnsi="Arial" w:cs="Arial"/>
          <w:b/>
          <w:szCs w:val="24"/>
        </w:rPr>
        <w:t xml:space="preserve">introduction of the primary activity requirement into the </w:t>
      </w:r>
      <w:r w:rsidR="00F12E7C" w:rsidRPr="00D30E56">
        <w:rPr>
          <w:rFonts w:ascii="Arial" w:hAnsi="Arial" w:cs="Arial"/>
          <w:b/>
          <w:szCs w:val="24"/>
        </w:rPr>
        <w:t>GA 2005</w:t>
      </w:r>
      <w:r w:rsidR="00E278A1" w:rsidRPr="00D30E56">
        <w:rPr>
          <w:rFonts w:ascii="Arial" w:hAnsi="Arial" w:cs="Arial"/>
          <w:b/>
          <w:szCs w:val="24"/>
        </w:rPr>
        <w:t>.</w:t>
      </w:r>
    </w:p>
    <w:p w:rsidR="00E278A1" w:rsidRPr="00E278A1" w:rsidRDefault="00E278A1" w:rsidP="00E278A1">
      <w:pPr>
        <w:pStyle w:val="ListParagraph"/>
        <w:rPr>
          <w:rFonts w:ascii="Arial" w:hAnsi="Arial" w:cs="Arial"/>
          <w:szCs w:val="22"/>
        </w:rPr>
      </w:pPr>
    </w:p>
    <w:p w:rsidR="00F12E7C" w:rsidRPr="00E33D03" w:rsidRDefault="00E33D03" w:rsidP="00E33D03">
      <w:pPr>
        <w:rPr>
          <w:rFonts w:ascii="Arial" w:hAnsi="Arial" w:cs="Arial"/>
          <w:b/>
          <w:sz w:val="24"/>
          <w:szCs w:val="22"/>
        </w:rPr>
      </w:pPr>
      <w:r w:rsidRPr="00E33D03">
        <w:rPr>
          <w:rFonts w:ascii="Arial" w:hAnsi="Arial" w:cs="Arial"/>
          <w:b/>
          <w:sz w:val="24"/>
          <w:szCs w:val="22"/>
        </w:rPr>
        <w:t>Summary</w:t>
      </w:r>
    </w:p>
    <w:p w:rsidR="00F12E7C" w:rsidRDefault="00F12E7C" w:rsidP="00F12E7C">
      <w:pPr>
        <w:pStyle w:val="ListParagraph"/>
        <w:numPr>
          <w:ilvl w:val="0"/>
          <w:numId w:val="24"/>
        </w:numPr>
        <w:rPr>
          <w:rFonts w:ascii="Arial" w:hAnsi="Arial" w:cs="Arial"/>
          <w:szCs w:val="22"/>
        </w:rPr>
      </w:pPr>
      <w:r>
        <w:rPr>
          <w:rFonts w:ascii="Arial" w:hAnsi="Arial" w:cs="Arial"/>
          <w:szCs w:val="22"/>
        </w:rPr>
        <w:t xml:space="preserve">The aim of outlining a comprehensive list of desirable policy changes it to </w:t>
      </w:r>
      <w:r w:rsidRPr="00F12E7C">
        <w:rPr>
          <w:rFonts w:ascii="Arial" w:hAnsi="Arial" w:cs="Arial"/>
          <w:szCs w:val="22"/>
        </w:rPr>
        <w:t>provide a set of options for addressing issues linked to clustering and FOBTs</w:t>
      </w:r>
      <w:r w:rsidR="00E33D03">
        <w:rPr>
          <w:rFonts w:ascii="Arial" w:hAnsi="Arial" w:cs="Arial"/>
          <w:szCs w:val="22"/>
        </w:rPr>
        <w:t>: we are not proposing that all of these changes should be implemented</w:t>
      </w:r>
      <w:r w:rsidR="00D30E56">
        <w:rPr>
          <w:rFonts w:ascii="Arial" w:hAnsi="Arial" w:cs="Arial"/>
          <w:szCs w:val="22"/>
        </w:rPr>
        <w:t>.</w:t>
      </w:r>
      <w:r w:rsidR="00E33D03">
        <w:rPr>
          <w:rFonts w:ascii="Arial" w:hAnsi="Arial" w:cs="Arial"/>
          <w:szCs w:val="22"/>
        </w:rPr>
        <w:t xml:space="preserve"> Developing a set of options</w:t>
      </w:r>
      <w:r w:rsidR="00D30E56">
        <w:rPr>
          <w:rFonts w:ascii="Arial" w:hAnsi="Arial" w:cs="Arial"/>
          <w:szCs w:val="22"/>
        </w:rPr>
        <w:t xml:space="preserve"> could</w:t>
      </w:r>
      <w:r w:rsidRPr="00F12E7C">
        <w:rPr>
          <w:rFonts w:ascii="Arial" w:hAnsi="Arial" w:cs="Arial"/>
          <w:szCs w:val="22"/>
        </w:rPr>
        <w:t xml:space="preserve"> increase the likelihood that one or more of them may be adopted</w:t>
      </w:r>
      <w:r>
        <w:rPr>
          <w:rFonts w:ascii="Arial" w:hAnsi="Arial" w:cs="Arial"/>
          <w:szCs w:val="22"/>
        </w:rPr>
        <w:t xml:space="preserve"> as it is likely that some (for example, cumulative impact zones) are likely to be more attractive than others (such as the return of the demand test).</w:t>
      </w:r>
    </w:p>
    <w:p w:rsidR="005F0364" w:rsidRDefault="005F0364" w:rsidP="009915A1">
      <w:pPr>
        <w:rPr>
          <w:rFonts w:ascii="Arial" w:hAnsi="Arial" w:cs="Arial"/>
          <w:b/>
          <w:szCs w:val="22"/>
        </w:rPr>
      </w:pPr>
    </w:p>
    <w:p w:rsidR="005F0364" w:rsidRPr="00E33D03" w:rsidRDefault="005F0364" w:rsidP="009915A1">
      <w:pPr>
        <w:rPr>
          <w:rFonts w:ascii="Arial" w:hAnsi="Arial" w:cs="Arial"/>
          <w:sz w:val="24"/>
          <w:szCs w:val="22"/>
        </w:rPr>
      </w:pPr>
      <w:r w:rsidRPr="00E33D03">
        <w:rPr>
          <w:rFonts w:ascii="Arial" w:hAnsi="Arial" w:cs="Arial"/>
          <w:b/>
          <w:sz w:val="24"/>
          <w:szCs w:val="22"/>
        </w:rPr>
        <w:t>Next steps</w:t>
      </w:r>
    </w:p>
    <w:p w:rsidR="00A41125" w:rsidRPr="0021114E" w:rsidRDefault="00A41125" w:rsidP="009915A1">
      <w:pPr>
        <w:rPr>
          <w:rFonts w:ascii="Arial" w:hAnsi="Arial" w:cs="Arial"/>
          <w:szCs w:val="22"/>
        </w:rPr>
      </w:pPr>
    </w:p>
    <w:p w:rsidR="005F0364" w:rsidRDefault="005F0364" w:rsidP="009915A1">
      <w:pPr>
        <w:pStyle w:val="ListParagraph"/>
        <w:numPr>
          <w:ilvl w:val="0"/>
          <w:numId w:val="24"/>
        </w:numPr>
        <w:rPr>
          <w:rFonts w:ascii="Arial" w:hAnsi="Arial" w:cs="Arial"/>
          <w:szCs w:val="22"/>
        </w:rPr>
      </w:pPr>
      <w:r>
        <w:rPr>
          <w:rFonts w:ascii="Arial" w:hAnsi="Arial" w:cs="Arial"/>
          <w:szCs w:val="22"/>
        </w:rPr>
        <w:t>Members are asked to:</w:t>
      </w:r>
    </w:p>
    <w:p w:rsidR="005F0364" w:rsidRDefault="00E278A1" w:rsidP="009915A1">
      <w:pPr>
        <w:pStyle w:val="ListParagraph"/>
        <w:numPr>
          <w:ilvl w:val="1"/>
          <w:numId w:val="24"/>
        </w:numPr>
        <w:ind w:left="788" w:hanging="431"/>
        <w:rPr>
          <w:rFonts w:ascii="Arial" w:hAnsi="Arial" w:cs="Arial"/>
          <w:szCs w:val="22"/>
        </w:rPr>
      </w:pPr>
      <w:r>
        <w:rPr>
          <w:rFonts w:ascii="Arial" w:hAnsi="Arial" w:cs="Arial"/>
          <w:szCs w:val="22"/>
        </w:rPr>
        <w:t xml:space="preserve">Endorse our work </w:t>
      </w:r>
      <w:r w:rsidR="00D30E56">
        <w:rPr>
          <w:rFonts w:ascii="Arial" w:hAnsi="Arial" w:cs="Arial"/>
          <w:szCs w:val="22"/>
        </w:rPr>
        <w:t>up to</w:t>
      </w:r>
      <w:r w:rsidR="00CB395D">
        <w:rPr>
          <w:rFonts w:ascii="Arial" w:hAnsi="Arial" w:cs="Arial"/>
          <w:szCs w:val="22"/>
        </w:rPr>
        <w:t xml:space="preserve"> </w:t>
      </w:r>
      <w:proofErr w:type="gramStart"/>
      <w:r w:rsidR="00CB395D">
        <w:rPr>
          <w:rFonts w:ascii="Arial" w:hAnsi="Arial" w:cs="Arial"/>
          <w:szCs w:val="22"/>
        </w:rPr>
        <w:t>Spring</w:t>
      </w:r>
      <w:proofErr w:type="gramEnd"/>
      <w:r w:rsidR="00CB395D">
        <w:rPr>
          <w:rFonts w:ascii="Arial" w:hAnsi="Arial" w:cs="Arial"/>
          <w:szCs w:val="22"/>
        </w:rPr>
        <w:t xml:space="preserve"> 2015 </w:t>
      </w:r>
      <w:r>
        <w:rPr>
          <w:rFonts w:ascii="Arial" w:hAnsi="Arial" w:cs="Arial"/>
          <w:szCs w:val="22"/>
        </w:rPr>
        <w:t xml:space="preserve">to support more effective local regulation in the current framework, including the launch of the LGA-ABB </w:t>
      </w:r>
      <w:r w:rsidRPr="00E278A1">
        <w:rPr>
          <w:rFonts w:ascii="Arial" w:hAnsi="Arial" w:cs="Arial"/>
          <w:i/>
          <w:szCs w:val="22"/>
        </w:rPr>
        <w:t>Framework for local partnerships</w:t>
      </w:r>
      <w:r w:rsidR="00007C6C">
        <w:rPr>
          <w:rFonts w:ascii="Arial" w:hAnsi="Arial" w:cs="Arial"/>
          <w:szCs w:val="22"/>
        </w:rPr>
        <w:t xml:space="preserve"> at the annual licensing conference on 15 January 2015</w:t>
      </w:r>
      <w:r>
        <w:rPr>
          <w:rFonts w:ascii="Arial" w:hAnsi="Arial" w:cs="Arial"/>
          <w:szCs w:val="22"/>
        </w:rPr>
        <w:t>.</w:t>
      </w:r>
    </w:p>
    <w:p w:rsidR="005F0364" w:rsidRDefault="00E278A1" w:rsidP="009915A1">
      <w:pPr>
        <w:pStyle w:val="ListParagraph"/>
        <w:numPr>
          <w:ilvl w:val="1"/>
          <w:numId w:val="24"/>
        </w:numPr>
        <w:ind w:left="788" w:hanging="431"/>
        <w:rPr>
          <w:rFonts w:ascii="Arial" w:hAnsi="Arial" w:cs="Arial"/>
          <w:szCs w:val="22"/>
        </w:rPr>
      </w:pPr>
      <w:r>
        <w:rPr>
          <w:rFonts w:ascii="Arial" w:hAnsi="Arial" w:cs="Arial"/>
          <w:szCs w:val="22"/>
        </w:rPr>
        <w:t>Agree</w:t>
      </w:r>
      <w:r w:rsidR="00F12E7C">
        <w:rPr>
          <w:rFonts w:ascii="Arial" w:hAnsi="Arial" w:cs="Arial"/>
          <w:szCs w:val="22"/>
        </w:rPr>
        <w:t xml:space="preserve"> an LGA policy position which calls for government to adopt one or more of a number of possible options for addressing concerns about clustering and FOBTs</w:t>
      </w:r>
      <w:r w:rsidR="00DD13A2">
        <w:rPr>
          <w:rFonts w:ascii="Arial" w:hAnsi="Arial" w:cs="Arial"/>
          <w:szCs w:val="22"/>
        </w:rPr>
        <w:t xml:space="preserve"> as outlined above</w:t>
      </w:r>
      <w:r w:rsidR="00F12E7C">
        <w:rPr>
          <w:rFonts w:ascii="Arial" w:hAnsi="Arial" w:cs="Arial"/>
          <w:szCs w:val="22"/>
        </w:rPr>
        <w:t>.</w:t>
      </w:r>
    </w:p>
    <w:p w:rsidR="00CB395D" w:rsidRDefault="00CB395D" w:rsidP="00CB395D">
      <w:pPr>
        <w:pStyle w:val="ListParagraph"/>
        <w:ind w:left="360"/>
        <w:rPr>
          <w:rFonts w:ascii="Arial" w:hAnsi="Arial" w:cs="Arial"/>
          <w:szCs w:val="22"/>
        </w:rPr>
      </w:pPr>
    </w:p>
    <w:p w:rsidR="00CB395D" w:rsidRDefault="00CB395D" w:rsidP="00F12E7C">
      <w:pPr>
        <w:pStyle w:val="ListParagraph"/>
        <w:numPr>
          <w:ilvl w:val="0"/>
          <w:numId w:val="24"/>
        </w:numPr>
        <w:rPr>
          <w:rFonts w:ascii="Arial" w:hAnsi="Arial" w:cs="Arial"/>
          <w:szCs w:val="22"/>
        </w:rPr>
      </w:pPr>
      <w:r>
        <w:rPr>
          <w:rFonts w:ascii="Arial" w:hAnsi="Arial" w:cs="Arial"/>
          <w:szCs w:val="22"/>
        </w:rPr>
        <w:t xml:space="preserve">We </w:t>
      </w:r>
      <w:r w:rsidR="00DD13A2">
        <w:rPr>
          <w:rFonts w:ascii="Arial" w:hAnsi="Arial" w:cs="Arial"/>
          <w:szCs w:val="22"/>
        </w:rPr>
        <w:t xml:space="preserve">have worked hard to ensure and </w:t>
      </w:r>
      <w:r>
        <w:rPr>
          <w:rFonts w:ascii="Arial" w:hAnsi="Arial" w:cs="Arial"/>
          <w:szCs w:val="22"/>
        </w:rPr>
        <w:t>believe that these two positions are consistent</w:t>
      </w:r>
      <w:r w:rsidR="00035B77">
        <w:rPr>
          <w:rFonts w:ascii="Arial" w:hAnsi="Arial" w:cs="Arial"/>
          <w:szCs w:val="22"/>
        </w:rPr>
        <w:t>; it is reasonable to seek to make best use of the current system while also calling for the system to be improved</w:t>
      </w:r>
      <w:r w:rsidR="00D30E56">
        <w:rPr>
          <w:rFonts w:ascii="Arial" w:hAnsi="Arial" w:cs="Arial"/>
          <w:szCs w:val="22"/>
        </w:rPr>
        <w:t>.</w:t>
      </w:r>
      <w:r w:rsidR="00035B77">
        <w:rPr>
          <w:rFonts w:ascii="Arial" w:hAnsi="Arial" w:cs="Arial"/>
          <w:szCs w:val="22"/>
        </w:rPr>
        <w:t xml:space="preserve"> However, our partnership work with industry will inevitably shape how we put forward our proposed policy positions.</w:t>
      </w:r>
      <w:r w:rsidR="00D30E56">
        <w:rPr>
          <w:rFonts w:ascii="Arial" w:hAnsi="Arial" w:cs="Arial"/>
          <w:szCs w:val="22"/>
        </w:rPr>
        <w:t xml:space="preserve"> F</w:t>
      </w:r>
      <w:r>
        <w:rPr>
          <w:rFonts w:ascii="Arial" w:hAnsi="Arial" w:cs="Arial"/>
          <w:szCs w:val="22"/>
        </w:rPr>
        <w:t xml:space="preserve">uture media and communications activity in </w:t>
      </w:r>
      <w:r w:rsidR="00035B77">
        <w:rPr>
          <w:rFonts w:ascii="Arial" w:hAnsi="Arial" w:cs="Arial"/>
          <w:szCs w:val="22"/>
        </w:rPr>
        <w:t>particular</w:t>
      </w:r>
      <w:r>
        <w:rPr>
          <w:rFonts w:ascii="Arial" w:hAnsi="Arial" w:cs="Arial"/>
          <w:szCs w:val="22"/>
        </w:rPr>
        <w:t xml:space="preserve"> </w:t>
      </w:r>
      <w:r w:rsidR="00D30E56">
        <w:rPr>
          <w:rFonts w:ascii="Arial" w:hAnsi="Arial" w:cs="Arial"/>
          <w:szCs w:val="22"/>
        </w:rPr>
        <w:t xml:space="preserve">will need to </w:t>
      </w:r>
      <w:r w:rsidR="00E33D03">
        <w:rPr>
          <w:rFonts w:ascii="Arial" w:hAnsi="Arial" w:cs="Arial"/>
          <w:szCs w:val="22"/>
        </w:rPr>
        <w:t xml:space="preserve">be tempered - </w:t>
      </w:r>
      <w:r w:rsidR="00D30E56">
        <w:rPr>
          <w:rFonts w:ascii="Arial" w:hAnsi="Arial" w:cs="Arial"/>
          <w:szCs w:val="22"/>
        </w:rPr>
        <w:t>compared to</w:t>
      </w:r>
      <w:r w:rsidR="00E33D03">
        <w:rPr>
          <w:rFonts w:ascii="Arial" w:hAnsi="Arial" w:cs="Arial"/>
          <w:szCs w:val="22"/>
        </w:rPr>
        <w:t xml:space="preserve"> perhaps a more strident approach in previous years -</w:t>
      </w:r>
      <w:r w:rsidR="00D30E56">
        <w:rPr>
          <w:rFonts w:ascii="Arial" w:hAnsi="Arial" w:cs="Arial"/>
          <w:szCs w:val="22"/>
        </w:rPr>
        <w:t xml:space="preserve"> </w:t>
      </w:r>
      <w:r>
        <w:rPr>
          <w:rFonts w:ascii="Arial" w:hAnsi="Arial" w:cs="Arial"/>
          <w:szCs w:val="22"/>
        </w:rPr>
        <w:t xml:space="preserve">to reflect our work with the ABB / industry and the constructive approach of the Betting Commission. </w:t>
      </w:r>
      <w:r w:rsidR="00E33D03">
        <w:rPr>
          <w:rFonts w:ascii="Arial" w:hAnsi="Arial" w:cs="Arial"/>
          <w:szCs w:val="22"/>
        </w:rPr>
        <w:t>While this sh</w:t>
      </w:r>
      <w:r>
        <w:rPr>
          <w:rFonts w:ascii="Arial" w:hAnsi="Arial" w:cs="Arial"/>
          <w:szCs w:val="22"/>
        </w:rPr>
        <w:t xml:space="preserve">ould not entail a complete cessation of media comment on issues </w:t>
      </w:r>
      <w:r w:rsidR="00E33D03">
        <w:rPr>
          <w:rFonts w:ascii="Arial" w:hAnsi="Arial" w:cs="Arial"/>
          <w:szCs w:val="22"/>
        </w:rPr>
        <w:t xml:space="preserve">on </w:t>
      </w:r>
      <w:r>
        <w:rPr>
          <w:rFonts w:ascii="Arial" w:hAnsi="Arial" w:cs="Arial"/>
          <w:szCs w:val="22"/>
        </w:rPr>
        <w:t xml:space="preserve">which </w:t>
      </w:r>
      <w:r w:rsidR="00E33D03">
        <w:rPr>
          <w:rFonts w:ascii="Arial" w:hAnsi="Arial" w:cs="Arial"/>
          <w:szCs w:val="22"/>
        </w:rPr>
        <w:t>we do not agree with industry</w:t>
      </w:r>
      <w:r>
        <w:rPr>
          <w:rFonts w:ascii="Arial" w:hAnsi="Arial" w:cs="Arial"/>
          <w:szCs w:val="22"/>
        </w:rPr>
        <w:t xml:space="preserve">, it would mean that </w:t>
      </w:r>
      <w:r w:rsidR="00DC14DE">
        <w:rPr>
          <w:rFonts w:ascii="Arial" w:hAnsi="Arial" w:cs="Arial"/>
          <w:szCs w:val="22"/>
        </w:rPr>
        <w:t>future lobbying work should</w:t>
      </w:r>
      <w:r>
        <w:rPr>
          <w:rFonts w:ascii="Arial" w:hAnsi="Arial" w:cs="Arial"/>
          <w:szCs w:val="22"/>
        </w:rPr>
        <w:t xml:space="preserve"> acknowledge the effort being made </w:t>
      </w:r>
      <w:r w:rsidR="00035B77">
        <w:rPr>
          <w:rFonts w:ascii="Arial" w:hAnsi="Arial" w:cs="Arial"/>
          <w:szCs w:val="22"/>
        </w:rPr>
        <w:t xml:space="preserve">by industry </w:t>
      </w:r>
      <w:r>
        <w:rPr>
          <w:rFonts w:ascii="Arial" w:hAnsi="Arial" w:cs="Arial"/>
          <w:szCs w:val="22"/>
        </w:rPr>
        <w:t xml:space="preserve">within the current framework to resolve some of the issues and concerns. </w:t>
      </w:r>
    </w:p>
    <w:p w:rsidR="005F0364" w:rsidRDefault="005F0364" w:rsidP="009915A1">
      <w:pPr>
        <w:pStyle w:val="MainText"/>
        <w:spacing w:line="240" w:lineRule="auto"/>
        <w:rPr>
          <w:rFonts w:ascii="Arial" w:hAnsi="Arial" w:cs="Arial"/>
          <w:b/>
          <w:szCs w:val="22"/>
        </w:rPr>
      </w:pPr>
    </w:p>
    <w:p w:rsidR="0021114E" w:rsidRPr="0021114E" w:rsidRDefault="00982B41" w:rsidP="009915A1">
      <w:pPr>
        <w:pStyle w:val="MainText"/>
        <w:spacing w:line="240" w:lineRule="auto"/>
        <w:rPr>
          <w:rFonts w:ascii="Arial" w:hAnsi="Arial" w:cs="Arial"/>
          <w:b/>
          <w:szCs w:val="22"/>
        </w:rPr>
      </w:pPr>
      <w:r w:rsidRPr="0021114E">
        <w:rPr>
          <w:rFonts w:ascii="Arial" w:hAnsi="Arial" w:cs="Arial"/>
          <w:b/>
          <w:szCs w:val="22"/>
        </w:rPr>
        <w:t>Financial Implications</w:t>
      </w:r>
    </w:p>
    <w:p w:rsidR="0021114E" w:rsidRDefault="0021114E" w:rsidP="009915A1">
      <w:pPr>
        <w:pStyle w:val="MainText"/>
        <w:spacing w:line="240" w:lineRule="auto"/>
        <w:rPr>
          <w:rFonts w:ascii="Arial" w:hAnsi="Arial" w:cs="Arial"/>
          <w:szCs w:val="22"/>
        </w:rPr>
      </w:pPr>
    </w:p>
    <w:p w:rsidR="00982B41" w:rsidRPr="0021114E" w:rsidRDefault="00B67071" w:rsidP="009915A1">
      <w:pPr>
        <w:pStyle w:val="MainText"/>
        <w:numPr>
          <w:ilvl w:val="0"/>
          <w:numId w:val="28"/>
        </w:numPr>
        <w:tabs>
          <w:tab w:val="clear" w:pos="567"/>
          <w:tab w:val="num" w:pos="426"/>
        </w:tabs>
        <w:spacing w:line="240" w:lineRule="auto"/>
        <w:ind w:left="426" w:hanging="426"/>
        <w:rPr>
          <w:rFonts w:ascii="Arial" w:hAnsi="Arial" w:cs="Arial"/>
          <w:szCs w:val="22"/>
        </w:rPr>
      </w:pPr>
      <w:r w:rsidRPr="0021114E">
        <w:rPr>
          <w:rFonts w:ascii="Arial" w:hAnsi="Arial" w:cs="Arial"/>
          <w:szCs w:val="22"/>
        </w:rPr>
        <w:t>None</w:t>
      </w:r>
      <w:r w:rsidR="0021114E">
        <w:rPr>
          <w:rFonts w:ascii="Arial" w:hAnsi="Arial" w:cs="Arial"/>
          <w:szCs w:val="22"/>
        </w:rPr>
        <w:t>.</w:t>
      </w:r>
    </w:p>
    <w:sectPr w:rsidR="00982B41" w:rsidRPr="0021114E" w:rsidSect="008772F4">
      <w:headerReference w:type="default" r:id="rId10"/>
      <w:footerReference w:type="default" r:id="rId11"/>
      <w:headerReference w:type="firs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119" w:rsidRDefault="005C3119">
      <w:r>
        <w:separator/>
      </w:r>
    </w:p>
  </w:endnote>
  <w:endnote w:type="continuationSeparator" w:id="0">
    <w:p w:rsidR="005C3119" w:rsidRDefault="005C3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603E71E-A5C2-43DD-963F-4C78112D0291}"/>
  </w:font>
  <w:font w:name="Calibri">
    <w:panose1 w:val="020F0502020204030204"/>
    <w:charset w:val="00"/>
    <w:family w:val="swiss"/>
    <w:pitch w:val="variable"/>
    <w:sig w:usb0="E00002FF" w:usb1="4000ACFF" w:usb2="00000001" w:usb3="00000000" w:csb0="0000019F" w:csb1="00000000"/>
    <w:embedRegular r:id="rId2" w:fontKey="{5D827060-AAD7-49F1-927B-A5EBCD13EB25}"/>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3" w:fontKey="{4E13127F-0B54-4BD3-B717-3D0C1A33CF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119" w:rsidRDefault="005C3119">
      <w:r>
        <w:separator/>
      </w:r>
    </w:p>
  </w:footnote>
  <w:footnote w:type="continuationSeparator" w:id="0">
    <w:p w:rsidR="005C3119" w:rsidRDefault="005C3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21114E" w:rsidP="00D07BF2">
          <w:pPr>
            <w:pStyle w:val="Header"/>
            <w:tabs>
              <w:tab w:val="clear" w:pos="4153"/>
              <w:tab w:val="clear" w:pos="8306"/>
              <w:tab w:val="center" w:pos="2923"/>
            </w:tabs>
          </w:pPr>
          <w:r>
            <w:rPr>
              <w:rFonts w:ascii="Arial" w:hAnsi="Arial" w:cs="Arial"/>
              <w:noProof/>
              <w:sz w:val="44"/>
              <w:szCs w:val="44"/>
            </w:rPr>
            <w:drawing>
              <wp:inline distT="0" distB="0" distL="0" distR="0" wp14:anchorId="0FFD753B" wp14:editId="098710DC">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rsidR="0021114E" w:rsidRPr="00374227" w:rsidRDefault="00EE0DE3" w:rsidP="00D07BF2">
          <w:pPr>
            <w:pStyle w:val="Header"/>
            <w:rPr>
              <w:rFonts w:ascii="Arial" w:hAnsi="Arial" w:cs="Arial"/>
              <w:b/>
              <w:szCs w:val="22"/>
            </w:rPr>
          </w:pPr>
          <w:r>
            <w:rPr>
              <w:rFonts w:ascii="Arial" w:hAnsi="Arial" w:cs="Arial"/>
              <w:b/>
              <w:szCs w:val="22"/>
            </w:rPr>
            <w:t>Safer and Stronger Communities</w:t>
          </w:r>
          <w:r w:rsidR="0021114E" w:rsidRPr="00374227">
            <w:rPr>
              <w:rFonts w:ascii="Arial" w:hAnsi="Arial" w:cs="Arial"/>
              <w:b/>
              <w:szCs w:val="22"/>
            </w:rPr>
            <w:t xml:space="preserv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0F42DE" w:rsidRPr="00374227" w:rsidRDefault="000F42DE" w:rsidP="000F42DE">
          <w:pPr>
            <w:pStyle w:val="Header"/>
            <w:spacing w:before="60"/>
            <w:rPr>
              <w:rFonts w:ascii="Arial" w:hAnsi="Arial" w:cs="Arial"/>
              <w:szCs w:val="22"/>
            </w:rPr>
          </w:pPr>
          <w:r>
            <w:rPr>
              <w:rFonts w:ascii="Arial" w:hAnsi="Arial" w:cs="Arial"/>
              <w:szCs w:val="22"/>
            </w:rPr>
            <w:t>1 December 2014</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D07BF2">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6D1A6884" wp14:editId="6D1A688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CCA548F"/>
    <w:multiLevelType w:val="multilevel"/>
    <w:tmpl w:val="5792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BFC743A"/>
    <w:multiLevelType w:val="hybridMultilevel"/>
    <w:tmpl w:val="2E8AD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A32BDD"/>
    <w:multiLevelType w:val="multilevel"/>
    <w:tmpl w:val="CFBA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9"/>
  </w:num>
  <w:num w:numId="5">
    <w:abstractNumId w:val="18"/>
  </w:num>
  <w:num w:numId="6">
    <w:abstractNumId w:val="12"/>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30"/>
  </w:num>
  <w:num w:numId="15">
    <w:abstractNumId w:val="17"/>
  </w:num>
  <w:num w:numId="16">
    <w:abstractNumId w:val="1"/>
  </w:num>
  <w:num w:numId="17">
    <w:abstractNumId w:val="28"/>
  </w:num>
  <w:num w:numId="18">
    <w:abstractNumId w:val="16"/>
  </w:num>
  <w:num w:numId="19">
    <w:abstractNumId w:val="7"/>
  </w:num>
  <w:num w:numId="20">
    <w:abstractNumId w:val="10"/>
  </w:num>
  <w:num w:numId="21">
    <w:abstractNumId w:val="22"/>
  </w:num>
  <w:num w:numId="22">
    <w:abstractNumId w:val="15"/>
  </w:num>
  <w:num w:numId="23">
    <w:abstractNumId w:val="25"/>
  </w:num>
  <w:num w:numId="24">
    <w:abstractNumId w:val="14"/>
  </w:num>
  <w:num w:numId="25">
    <w:abstractNumId w:val="5"/>
  </w:num>
  <w:num w:numId="26">
    <w:abstractNumId w:val="27"/>
  </w:num>
  <w:num w:numId="27">
    <w:abstractNumId w:val="0"/>
  </w:num>
  <w:num w:numId="28">
    <w:abstractNumId w:val="3"/>
  </w:num>
  <w:num w:numId="29">
    <w:abstractNumId w:val="26"/>
  </w:num>
  <w:num w:numId="30">
    <w:abstractNumId w:val="13"/>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C6C"/>
    <w:rsid w:val="000109D3"/>
    <w:rsid w:val="00010A80"/>
    <w:rsid w:val="00011E01"/>
    <w:rsid w:val="00016F0D"/>
    <w:rsid w:val="00035B77"/>
    <w:rsid w:val="000367FF"/>
    <w:rsid w:val="0005285D"/>
    <w:rsid w:val="00061956"/>
    <w:rsid w:val="00067378"/>
    <w:rsid w:val="00081B2C"/>
    <w:rsid w:val="00084E44"/>
    <w:rsid w:val="000A095D"/>
    <w:rsid w:val="000A1896"/>
    <w:rsid w:val="000A3935"/>
    <w:rsid w:val="000A7FC2"/>
    <w:rsid w:val="000B09F5"/>
    <w:rsid w:val="000C3360"/>
    <w:rsid w:val="000D2500"/>
    <w:rsid w:val="000D2BDB"/>
    <w:rsid w:val="000D702D"/>
    <w:rsid w:val="000E5E39"/>
    <w:rsid w:val="000F42DE"/>
    <w:rsid w:val="00100FC2"/>
    <w:rsid w:val="0010253D"/>
    <w:rsid w:val="001172B6"/>
    <w:rsid w:val="001517EA"/>
    <w:rsid w:val="00173D5A"/>
    <w:rsid w:val="001A07F1"/>
    <w:rsid w:val="001A7A02"/>
    <w:rsid w:val="001D2C76"/>
    <w:rsid w:val="001D6703"/>
    <w:rsid w:val="001E4CE7"/>
    <w:rsid w:val="001F4E3D"/>
    <w:rsid w:val="002002E2"/>
    <w:rsid w:val="0021114E"/>
    <w:rsid w:val="00237756"/>
    <w:rsid w:val="002414C2"/>
    <w:rsid w:val="00254DF4"/>
    <w:rsid w:val="002A0C7D"/>
    <w:rsid w:val="002A0D9E"/>
    <w:rsid w:val="002A20E0"/>
    <w:rsid w:val="002C54D9"/>
    <w:rsid w:val="002D0658"/>
    <w:rsid w:val="002F15DD"/>
    <w:rsid w:val="00302667"/>
    <w:rsid w:val="00314DC8"/>
    <w:rsid w:val="00324E86"/>
    <w:rsid w:val="00363ED4"/>
    <w:rsid w:val="00372DE6"/>
    <w:rsid w:val="003978FB"/>
    <w:rsid w:val="003C77A8"/>
    <w:rsid w:val="003E20D5"/>
    <w:rsid w:val="003E4825"/>
    <w:rsid w:val="003E4B3E"/>
    <w:rsid w:val="0041006B"/>
    <w:rsid w:val="00414B34"/>
    <w:rsid w:val="004153AC"/>
    <w:rsid w:val="0042168F"/>
    <w:rsid w:val="00424638"/>
    <w:rsid w:val="00435D57"/>
    <w:rsid w:val="004401AF"/>
    <w:rsid w:val="00444C86"/>
    <w:rsid w:val="00481354"/>
    <w:rsid w:val="004B58C7"/>
    <w:rsid w:val="004D36F3"/>
    <w:rsid w:val="004F12FE"/>
    <w:rsid w:val="00542C75"/>
    <w:rsid w:val="00546D0D"/>
    <w:rsid w:val="005719B7"/>
    <w:rsid w:val="00575EED"/>
    <w:rsid w:val="005A4917"/>
    <w:rsid w:val="005B3508"/>
    <w:rsid w:val="005B6237"/>
    <w:rsid w:val="005C3119"/>
    <w:rsid w:val="005D0DDD"/>
    <w:rsid w:val="005E38A9"/>
    <w:rsid w:val="005F0364"/>
    <w:rsid w:val="005F18FA"/>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0526E"/>
    <w:rsid w:val="00840173"/>
    <w:rsid w:val="00841710"/>
    <w:rsid w:val="00860C8D"/>
    <w:rsid w:val="0087174A"/>
    <w:rsid w:val="00873864"/>
    <w:rsid w:val="0087546A"/>
    <w:rsid w:val="008772F4"/>
    <w:rsid w:val="00886551"/>
    <w:rsid w:val="00893E53"/>
    <w:rsid w:val="008C236F"/>
    <w:rsid w:val="008C3AFD"/>
    <w:rsid w:val="008D1B23"/>
    <w:rsid w:val="008D332D"/>
    <w:rsid w:val="008E5AE8"/>
    <w:rsid w:val="008F3A81"/>
    <w:rsid w:val="00914A91"/>
    <w:rsid w:val="0092710B"/>
    <w:rsid w:val="00931FA5"/>
    <w:rsid w:val="0094468C"/>
    <w:rsid w:val="00961BAC"/>
    <w:rsid w:val="00967F3E"/>
    <w:rsid w:val="00982B41"/>
    <w:rsid w:val="009915A1"/>
    <w:rsid w:val="009B0968"/>
    <w:rsid w:val="009C64BE"/>
    <w:rsid w:val="009C7622"/>
    <w:rsid w:val="009C799F"/>
    <w:rsid w:val="009D03AA"/>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AE744B"/>
    <w:rsid w:val="00B0159A"/>
    <w:rsid w:val="00B04EEF"/>
    <w:rsid w:val="00B162A5"/>
    <w:rsid w:val="00B51B1C"/>
    <w:rsid w:val="00B5364D"/>
    <w:rsid w:val="00B63F0D"/>
    <w:rsid w:val="00B668B0"/>
    <w:rsid w:val="00B67071"/>
    <w:rsid w:val="00B7585E"/>
    <w:rsid w:val="00B91859"/>
    <w:rsid w:val="00BB212B"/>
    <w:rsid w:val="00BC3B14"/>
    <w:rsid w:val="00BC3B9F"/>
    <w:rsid w:val="00BD4D88"/>
    <w:rsid w:val="00BE1A18"/>
    <w:rsid w:val="00BF4F9E"/>
    <w:rsid w:val="00C21FC8"/>
    <w:rsid w:val="00C23F51"/>
    <w:rsid w:val="00C342FB"/>
    <w:rsid w:val="00C36EBD"/>
    <w:rsid w:val="00C56860"/>
    <w:rsid w:val="00C56D09"/>
    <w:rsid w:val="00C63BF4"/>
    <w:rsid w:val="00C82C83"/>
    <w:rsid w:val="00C9258A"/>
    <w:rsid w:val="00CA1498"/>
    <w:rsid w:val="00CB395D"/>
    <w:rsid w:val="00CC0245"/>
    <w:rsid w:val="00CE2310"/>
    <w:rsid w:val="00D1779A"/>
    <w:rsid w:val="00D30E56"/>
    <w:rsid w:val="00D55DF4"/>
    <w:rsid w:val="00D620BE"/>
    <w:rsid w:val="00D66905"/>
    <w:rsid w:val="00D77253"/>
    <w:rsid w:val="00D802E0"/>
    <w:rsid w:val="00D84788"/>
    <w:rsid w:val="00D903DC"/>
    <w:rsid w:val="00DA0183"/>
    <w:rsid w:val="00DA3443"/>
    <w:rsid w:val="00DC14DE"/>
    <w:rsid w:val="00DD13A2"/>
    <w:rsid w:val="00DD7640"/>
    <w:rsid w:val="00DF11AC"/>
    <w:rsid w:val="00E11424"/>
    <w:rsid w:val="00E27467"/>
    <w:rsid w:val="00E278A1"/>
    <w:rsid w:val="00E33D03"/>
    <w:rsid w:val="00E4011A"/>
    <w:rsid w:val="00E52D8B"/>
    <w:rsid w:val="00E64FBC"/>
    <w:rsid w:val="00E650C7"/>
    <w:rsid w:val="00E7710E"/>
    <w:rsid w:val="00E83EB8"/>
    <w:rsid w:val="00E84B8B"/>
    <w:rsid w:val="00EA5736"/>
    <w:rsid w:val="00EB1237"/>
    <w:rsid w:val="00EE0DE3"/>
    <w:rsid w:val="00F12E7C"/>
    <w:rsid w:val="00F23B3B"/>
    <w:rsid w:val="00F6257D"/>
    <w:rsid w:val="00F6671D"/>
    <w:rsid w:val="00F66928"/>
    <w:rsid w:val="00F74F32"/>
    <w:rsid w:val="00F77051"/>
    <w:rsid w:val="00F866E4"/>
    <w:rsid w:val="00F95A3A"/>
    <w:rsid w:val="00FB295D"/>
    <w:rsid w:val="00FC6099"/>
    <w:rsid w:val="00FC7FAC"/>
    <w:rsid w:val="00FD18AD"/>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Spacing">
    <w:name w:val="No Spacing"/>
    <w:uiPriority w:val="1"/>
    <w:qFormat/>
    <w:rsid w:val="00414B34"/>
    <w:rPr>
      <w:rFonts w:asciiTheme="minorHAnsi" w:eastAsiaTheme="minorHAnsi" w:hAnsiTheme="minorHAnsi" w:cstheme="minorBidi"/>
      <w:sz w:val="22"/>
      <w:szCs w:val="22"/>
      <w:lang w:eastAsia="en-US"/>
    </w:rPr>
  </w:style>
  <w:style w:type="paragraph" w:styleId="FootnoteText">
    <w:name w:val="footnote text"/>
    <w:basedOn w:val="Normal"/>
    <w:link w:val="FootnoteTextChar"/>
    <w:rsid w:val="00EA5736"/>
    <w:rPr>
      <w:sz w:val="20"/>
    </w:rPr>
  </w:style>
  <w:style w:type="character" w:customStyle="1" w:styleId="FootnoteTextChar">
    <w:name w:val="Footnote Text Char"/>
    <w:basedOn w:val="DefaultParagraphFont"/>
    <w:link w:val="FootnoteText"/>
    <w:rsid w:val="00EA5736"/>
    <w:rPr>
      <w:rFonts w:ascii="Frutiger 45 Light" w:hAnsi="Frutiger 45 Light"/>
    </w:rPr>
  </w:style>
  <w:style w:type="character" w:styleId="FootnoteReference">
    <w:name w:val="footnote reference"/>
    <w:basedOn w:val="DefaultParagraphFont"/>
    <w:rsid w:val="00EA57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Spacing">
    <w:name w:val="No Spacing"/>
    <w:uiPriority w:val="1"/>
    <w:qFormat/>
    <w:rsid w:val="00414B34"/>
    <w:rPr>
      <w:rFonts w:asciiTheme="minorHAnsi" w:eastAsiaTheme="minorHAnsi" w:hAnsiTheme="minorHAnsi" w:cstheme="minorBidi"/>
      <w:sz w:val="22"/>
      <w:szCs w:val="22"/>
      <w:lang w:eastAsia="en-US"/>
    </w:rPr>
  </w:style>
  <w:style w:type="paragraph" w:styleId="FootnoteText">
    <w:name w:val="footnote text"/>
    <w:basedOn w:val="Normal"/>
    <w:link w:val="FootnoteTextChar"/>
    <w:rsid w:val="00EA5736"/>
    <w:rPr>
      <w:sz w:val="20"/>
    </w:rPr>
  </w:style>
  <w:style w:type="character" w:customStyle="1" w:styleId="FootnoteTextChar">
    <w:name w:val="Footnote Text Char"/>
    <w:basedOn w:val="DefaultParagraphFont"/>
    <w:link w:val="FootnoteText"/>
    <w:rsid w:val="00EA5736"/>
    <w:rPr>
      <w:rFonts w:ascii="Frutiger 45 Light" w:hAnsi="Frutiger 45 Light"/>
    </w:rPr>
  </w:style>
  <w:style w:type="character" w:styleId="FootnoteReference">
    <w:name w:val="footnote reference"/>
    <w:basedOn w:val="DefaultParagraphFont"/>
    <w:rsid w:val="00EA57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40426">
      <w:bodyDiv w:val="1"/>
      <w:marLeft w:val="0"/>
      <w:marRight w:val="0"/>
      <w:marTop w:val="0"/>
      <w:marBottom w:val="0"/>
      <w:divBdr>
        <w:top w:val="none" w:sz="0" w:space="0" w:color="auto"/>
        <w:left w:val="none" w:sz="0" w:space="0" w:color="auto"/>
        <w:bottom w:val="none" w:sz="0" w:space="0" w:color="auto"/>
        <w:right w:val="none" w:sz="0" w:space="0" w:color="auto"/>
      </w:divBdr>
    </w:div>
    <w:div w:id="670528262">
      <w:bodyDiv w:val="1"/>
      <w:marLeft w:val="0"/>
      <w:marRight w:val="0"/>
      <w:marTop w:val="0"/>
      <w:marBottom w:val="0"/>
      <w:divBdr>
        <w:top w:val="none" w:sz="0" w:space="0" w:color="auto"/>
        <w:left w:val="none" w:sz="0" w:space="0" w:color="auto"/>
        <w:bottom w:val="none" w:sz="0" w:space="0" w:color="auto"/>
        <w:right w:val="none" w:sz="0" w:space="0" w:color="auto"/>
      </w:divBdr>
    </w:div>
    <w:div w:id="890649560">
      <w:bodyDiv w:val="1"/>
      <w:marLeft w:val="0"/>
      <w:marRight w:val="0"/>
      <w:marTop w:val="0"/>
      <w:marBottom w:val="0"/>
      <w:divBdr>
        <w:top w:val="none" w:sz="0" w:space="0" w:color="auto"/>
        <w:left w:val="none" w:sz="0" w:space="0" w:color="auto"/>
        <w:bottom w:val="none" w:sz="0" w:space="0" w:color="auto"/>
        <w:right w:val="none" w:sz="0" w:space="0" w:color="auto"/>
      </w:divBdr>
      <w:divsChild>
        <w:div w:id="446126691">
          <w:marLeft w:val="0"/>
          <w:marRight w:val="0"/>
          <w:marTop w:val="0"/>
          <w:marBottom w:val="0"/>
          <w:divBdr>
            <w:top w:val="none" w:sz="0" w:space="0" w:color="auto"/>
            <w:left w:val="none" w:sz="0" w:space="0" w:color="auto"/>
            <w:bottom w:val="none" w:sz="0" w:space="0" w:color="auto"/>
            <w:right w:val="none" w:sz="0" w:space="0" w:color="auto"/>
          </w:divBdr>
          <w:divsChild>
            <w:div w:id="193731450">
              <w:marLeft w:val="0"/>
              <w:marRight w:val="0"/>
              <w:marTop w:val="0"/>
              <w:marBottom w:val="0"/>
              <w:divBdr>
                <w:top w:val="none" w:sz="0" w:space="0" w:color="auto"/>
                <w:left w:val="none" w:sz="0" w:space="0" w:color="auto"/>
                <w:bottom w:val="none" w:sz="0" w:space="0" w:color="auto"/>
                <w:right w:val="none" w:sz="0" w:space="0" w:color="auto"/>
              </w:divBdr>
              <w:divsChild>
                <w:div w:id="1592353712">
                  <w:marLeft w:val="-3600"/>
                  <w:marRight w:val="0"/>
                  <w:marTop w:val="0"/>
                  <w:marBottom w:val="0"/>
                  <w:divBdr>
                    <w:top w:val="none" w:sz="0" w:space="0" w:color="auto"/>
                    <w:left w:val="none" w:sz="0" w:space="0" w:color="auto"/>
                    <w:bottom w:val="none" w:sz="0" w:space="0" w:color="auto"/>
                    <w:right w:val="none" w:sz="0" w:space="0" w:color="auto"/>
                  </w:divBdr>
                  <w:divsChild>
                    <w:div w:id="2056587777">
                      <w:marLeft w:val="0"/>
                      <w:marRight w:val="-3600"/>
                      <w:marTop w:val="0"/>
                      <w:marBottom w:val="0"/>
                      <w:divBdr>
                        <w:top w:val="none" w:sz="0" w:space="0" w:color="auto"/>
                        <w:left w:val="none" w:sz="0" w:space="0" w:color="auto"/>
                        <w:bottom w:val="none" w:sz="0" w:space="0" w:color="auto"/>
                        <w:right w:val="none" w:sz="0" w:space="0" w:color="auto"/>
                      </w:divBdr>
                      <w:divsChild>
                        <w:div w:id="205021718">
                          <w:marLeft w:val="3600"/>
                          <w:marRight w:val="3600"/>
                          <w:marTop w:val="0"/>
                          <w:marBottom w:val="0"/>
                          <w:divBdr>
                            <w:top w:val="none" w:sz="0" w:space="0" w:color="auto"/>
                            <w:left w:val="none" w:sz="0" w:space="0" w:color="auto"/>
                            <w:bottom w:val="none" w:sz="0" w:space="0" w:color="auto"/>
                            <w:right w:val="none" w:sz="0" w:space="0" w:color="auto"/>
                          </w:divBdr>
                          <w:divsChild>
                            <w:div w:id="479659796">
                              <w:marLeft w:val="0"/>
                              <w:marRight w:val="0"/>
                              <w:marTop w:val="0"/>
                              <w:marBottom w:val="225"/>
                              <w:divBdr>
                                <w:top w:val="single" w:sz="12" w:space="0" w:color="auto"/>
                                <w:left w:val="single" w:sz="12" w:space="0" w:color="auto"/>
                                <w:bottom w:val="single" w:sz="12" w:space="0" w:color="auto"/>
                                <w:right w:val="single" w:sz="12" w:space="0" w:color="auto"/>
                              </w:divBdr>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21575120">
      <w:bodyDiv w:val="1"/>
      <w:marLeft w:val="0"/>
      <w:marRight w:val="0"/>
      <w:marTop w:val="0"/>
      <w:marBottom w:val="0"/>
      <w:divBdr>
        <w:top w:val="none" w:sz="0" w:space="0" w:color="auto"/>
        <w:left w:val="none" w:sz="0" w:space="0" w:color="auto"/>
        <w:bottom w:val="none" w:sz="0" w:space="0" w:color="auto"/>
        <w:right w:val="none" w:sz="0" w:space="0" w:color="auto"/>
      </w:divBdr>
      <w:divsChild>
        <w:div w:id="572087472">
          <w:marLeft w:val="0"/>
          <w:marRight w:val="0"/>
          <w:marTop w:val="450"/>
          <w:marBottom w:val="0"/>
          <w:divBdr>
            <w:top w:val="none" w:sz="0" w:space="0" w:color="auto"/>
            <w:left w:val="none" w:sz="0" w:space="0" w:color="auto"/>
            <w:bottom w:val="none" w:sz="0" w:space="0" w:color="auto"/>
            <w:right w:val="none" w:sz="0" w:space="0" w:color="auto"/>
          </w:divBdr>
          <w:divsChild>
            <w:div w:id="11783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llie.greenwood@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1878E-CD56-4ED8-9E0F-EFE61723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1747</Words>
  <Characters>9958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Paul Goodchild</cp:lastModifiedBy>
  <cp:revision>4</cp:revision>
  <cp:lastPrinted>2014-11-11T16:27:00Z</cp:lastPrinted>
  <dcterms:created xsi:type="dcterms:W3CDTF">2014-11-24T11:09:00Z</dcterms:created>
  <dcterms:modified xsi:type="dcterms:W3CDTF">2014-11-24T11:25:00Z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LGA Betting Commission outcome and future approach to LGA policy on gambling regulation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